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3A91B254" w14:textId="77777777" w:rsidR="00867E6A" w:rsidRDefault="00867E6A" w:rsidP="006714F2">
      <w:pPr>
        <w:pStyle w:val="Corpodetexto"/>
        <w:spacing w:after="0" w:line="200" w:lineRule="atLeast"/>
        <w:jc w:val="both"/>
      </w:pPr>
    </w:p>
    <w:p w14:paraId="19B2FFA7" w14:textId="357091AF" w:rsidR="003F24B2" w:rsidRDefault="008929C6" w:rsidP="006714F2">
      <w:pPr>
        <w:pStyle w:val="Corpodetexto"/>
        <w:spacing w:after="0" w:line="200" w:lineRule="atLeast"/>
        <w:jc w:val="both"/>
      </w:pPr>
      <w:r>
        <w:t xml:space="preserve">PROCESSO N° </w:t>
      </w:r>
      <w:r w:rsidR="00867E6A" w:rsidRPr="00867E6A">
        <w:rPr>
          <w:rFonts w:ascii="Roboto" w:hAnsi="Roboto"/>
          <w:b/>
          <w:bCs/>
          <w:color w:val="212529"/>
          <w:sz w:val="32"/>
          <w:szCs w:val="32"/>
          <w:shd w:val="clear" w:color="auto" w:fill="FFFFFF"/>
        </w:rPr>
        <w:t>KF0QB</w:t>
      </w:r>
      <w:r w:rsidRPr="00867E6A">
        <w:rPr>
          <w:b/>
          <w:bCs/>
        </w:rPr>
        <w:t>/202</w:t>
      </w:r>
      <w:r w:rsidR="00867E6A" w:rsidRPr="00867E6A">
        <w:rPr>
          <w:b/>
          <w:bCs/>
        </w:rPr>
        <w:t>6</w:t>
      </w:r>
    </w:p>
    <w:p w14:paraId="216CE93C" w14:textId="77777777" w:rsidR="0099664D" w:rsidRDefault="0099664D" w:rsidP="006714F2">
      <w:pPr>
        <w:pStyle w:val="Corpodetexto"/>
        <w:spacing w:after="0" w:line="200" w:lineRule="atLeast"/>
        <w:jc w:val="both"/>
      </w:pPr>
    </w:p>
    <w:p w14:paraId="2658644E" w14:textId="2F13B0A8"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Default="003F24B2" w:rsidP="00FE1AC3">
      <w:pPr>
        <w:pStyle w:val="Corpodetexto"/>
        <w:spacing w:after="0" w:line="360" w:lineRule="auto"/>
        <w:jc w:val="both"/>
      </w:pPr>
      <w:r w:rsidRPr="003F24B2">
        <w:rPr>
          <w:b/>
        </w:rPr>
        <w:t>OBJETO DA PRESENTE DISPENSA</w:t>
      </w:r>
      <w:r w:rsidR="008929C6">
        <w:t>:</w:t>
      </w:r>
    </w:p>
    <w:p w14:paraId="4B583AD7" w14:textId="77777777" w:rsidR="00FE602F" w:rsidRDefault="00FE602F" w:rsidP="00402F3B">
      <w:pPr>
        <w:spacing w:line="360" w:lineRule="auto"/>
        <w:jc w:val="both"/>
      </w:pPr>
      <w:r>
        <w:t>Contratação de empresa especializada para prestação de serviços anuais relativos aos Registradores Eletrônicos de Ponto (REP) e Software de Tratamento, compreendendo: visita técnica presencial, migração para a Portaria MTE nº 671/2021, adequação à LGPD, licenciamento de software, suporte técnico remoto ilimitado e treinamento presencial.</w:t>
      </w:r>
    </w:p>
    <w:p w14:paraId="1D71F7A6" w14:textId="6645418F" w:rsidR="003F24B2" w:rsidRDefault="00B1780E" w:rsidP="00402F3B">
      <w:pPr>
        <w:spacing w:line="360" w:lineRule="auto"/>
        <w:jc w:val="both"/>
      </w:pPr>
      <w:r>
        <w:rPr>
          <w:b/>
        </w:rPr>
        <w:t>l</w:t>
      </w:r>
      <w:r w:rsidR="008929C6" w:rsidRPr="003F24B2">
        <w:rPr>
          <w:b/>
        </w:rPr>
        <w:t>imite para Apresentação da Proposta de Preços</w:t>
      </w:r>
      <w:r w:rsidR="008929C6">
        <w:t xml:space="preserve">: </w:t>
      </w:r>
      <w:r w:rsidR="00E4507A">
        <w:rPr>
          <w:highlight w:val="yellow"/>
        </w:rPr>
        <w:t>27</w:t>
      </w:r>
      <w:r w:rsidR="00644EEF">
        <w:rPr>
          <w:highlight w:val="yellow"/>
        </w:rPr>
        <w:t xml:space="preserve"> </w:t>
      </w:r>
      <w:r w:rsidR="008929C6" w:rsidRPr="003F24B2">
        <w:rPr>
          <w:highlight w:val="yellow"/>
        </w:rPr>
        <w:t xml:space="preserve">de </w:t>
      </w:r>
      <w:r w:rsidR="00E4507A">
        <w:rPr>
          <w:highlight w:val="yellow"/>
        </w:rPr>
        <w:t>fevereiro</w:t>
      </w:r>
      <w:r w:rsidR="008929C6" w:rsidRPr="003F24B2">
        <w:rPr>
          <w:highlight w:val="yellow"/>
        </w:rPr>
        <w:t xml:space="preserve"> de 202</w:t>
      </w:r>
      <w:r w:rsidR="0012441A">
        <w:rPr>
          <w:highlight w:val="yellow"/>
        </w:rPr>
        <w:t>6</w:t>
      </w:r>
      <w:r w:rsidR="008929C6" w:rsidRPr="003F24B2">
        <w:rPr>
          <w:highlight w:val="yellow"/>
        </w:rPr>
        <w:t xml:space="preserve"> a </w:t>
      </w:r>
      <w:r w:rsidR="00FE602F">
        <w:rPr>
          <w:highlight w:val="yellow"/>
        </w:rPr>
        <w:t>0</w:t>
      </w:r>
      <w:r w:rsidR="00E4507A">
        <w:rPr>
          <w:highlight w:val="yellow"/>
        </w:rPr>
        <w:t>4</w:t>
      </w:r>
      <w:r w:rsidR="008929C6" w:rsidRPr="003F24B2">
        <w:rPr>
          <w:highlight w:val="yellow"/>
        </w:rPr>
        <w:t xml:space="preserve"> de </w:t>
      </w:r>
      <w:r w:rsidR="00FE602F">
        <w:rPr>
          <w:highlight w:val="yellow"/>
        </w:rPr>
        <w:t>março</w:t>
      </w:r>
      <w:r w:rsidR="008929C6" w:rsidRPr="003F24B2">
        <w:rPr>
          <w:highlight w:val="yellow"/>
        </w:rPr>
        <w:t xml:space="preserve"> de 202</w:t>
      </w:r>
      <w:r w:rsidR="0012441A">
        <w:rPr>
          <w:highlight w:val="yellow"/>
        </w:rPr>
        <w:t>6</w:t>
      </w:r>
      <w:r w:rsidR="008929C6" w:rsidRPr="00402F3B">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57800E29" w14:textId="77777777" w:rsidR="00551511" w:rsidRDefault="004138EC" w:rsidP="00551511">
      <w:pPr>
        <w:jc w:val="both"/>
        <w:rPr>
          <w:rFonts w:cs="Arial"/>
        </w:rPr>
      </w:pPr>
      <w:r w:rsidRPr="00644EEF">
        <w:rPr>
          <w:rFonts w:ascii="Arial" w:hAnsi="Arial" w:cs="Arial"/>
          <w:sz w:val="20"/>
          <w:szCs w:val="20"/>
        </w:rPr>
        <w:t>3.1.</w:t>
      </w:r>
      <w:r w:rsidR="00402F3B" w:rsidRPr="00644EEF">
        <w:rPr>
          <w:rFonts w:ascii="Arial" w:hAnsi="Arial" w:cs="Arial"/>
          <w:sz w:val="20"/>
          <w:szCs w:val="20"/>
        </w:rPr>
        <w:t xml:space="preserve"> </w:t>
      </w:r>
      <w:r w:rsidR="00551511" w:rsidRPr="00F67A2D">
        <w:rPr>
          <w:rFonts w:cs="Arial"/>
        </w:rPr>
        <w:t xml:space="preserve">prestação </w:t>
      </w:r>
      <w:r w:rsidR="00551511">
        <w:rPr>
          <w:rFonts w:cs="Arial"/>
        </w:rPr>
        <w:t>de serviços</w:t>
      </w:r>
      <w:r w:rsidR="00551511" w:rsidRPr="00F67A2D">
        <w:rPr>
          <w:rFonts w:cs="Arial"/>
        </w:rPr>
        <w:t>, consta</w:t>
      </w:r>
      <w:r w:rsidR="00551511">
        <w:rPr>
          <w:rFonts w:cs="Arial"/>
        </w:rPr>
        <w:t>m</w:t>
      </w:r>
      <w:r w:rsidR="00551511" w:rsidRPr="00F67A2D">
        <w:rPr>
          <w:rFonts w:cs="Arial"/>
        </w:rPr>
        <w:t xml:space="preserve"> da seguinte forma:</w:t>
      </w:r>
    </w:p>
    <w:tbl>
      <w:tblPr>
        <w:tblStyle w:val="Tabelacomgrade"/>
        <w:tblW w:w="9640" w:type="dxa"/>
        <w:tblInd w:w="-147" w:type="dxa"/>
        <w:tblLook w:val="04A0" w:firstRow="1" w:lastRow="0" w:firstColumn="1" w:lastColumn="0" w:noHBand="0" w:noVBand="1"/>
      </w:tblPr>
      <w:tblGrid>
        <w:gridCol w:w="9640"/>
      </w:tblGrid>
      <w:tr w:rsidR="005D7F70" w14:paraId="7E6138E1" w14:textId="77777777" w:rsidTr="0056443E">
        <w:tc>
          <w:tcPr>
            <w:tcW w:w="9640" w:type="dxa"/>
          </w:tcPr>
          <w:tbl>
            <w:tblPr>
              <w:tblStyle w:val="Tabelacomgrade"/>
              <w:tblW w:w="0" w:type="auto"/>
              <w:tblLook w:val="04A0" w:firstRow="1" w:lastRow="0" w:firstColumn="1" w:lastColumn="0" w:noHBand="0" w:noVBand="1"/>
            </w:tblPr>
            <w:tblGrid>
              <w:gridCol w:w="756"/>
              <w:gridCol w:w="4462"/>
              <w:gridCol w:w="1391"/>
              <w:gridCol w:w="1880"/>
            </w:tblGrid>
            <w:tr w:rsidR="005D7F70" w:rsidRPr="00B32B0A" w14:paraId="2A596DE0" w14:textId="77777777" w:rsidTr="00FE2E05">
              <w:trPr>
                <w:trHeight w:val="705"/>
              </w:trPr>
              <w:tc>
                <w:tcPr>
                  <w:tcW w:w="756" w:type="dxa"/>
                </w:tcPr>
                <w:p w14:paraId="30DC16C1" w14:textId="77777777" w:rsidR="005D7F70" w:rsidRPr="00B32B0A" w:rsidRDefault="005D7F70" w:rsidP="005D7F70">
                  <w:pPr>
                    <w:spacing w:line="360" w:lineRule="auto"/>
                    <w:jc w:val="center"/>
                    <w:rPr>
                      <w:rFonts w:ascii="Arial" w:hAnsi="Arial" w:cs="Arial"/>
                      <w:b/>
                      <w:bCs/>
                    </w:rPr>
                  </w:pPr>
                  <w:r w:rsidRPr="00B32B0A">
                    <w:rPr>
                      <w:rFonts w:ascii="Arial" w:hAnsi="Arial" w:cs="Arial"/>
                      <w:b/>
                      <w:bCs/>
                    </w:rPr>
                    <w:t>ITEM</w:t>
                  </w:r>
                </w:p>
              </w:tc>
              <w:tc>
                <w:tcPr>
                  <w:tcW w:w="4462" w:type="dxa"/>
                </w:tcPr>
                <w:p w14:paraId="0661BD70" w14:textId="77777777" w:rsidR="005D7F70" w:rsidRPr="00B32B0A" w:rsidRDefault="005D7F70" w:rsidP="005D7F70">
                  <w:pPr>
                    <w:spacing w:line="360" w:lineRule="auto"/>
                    <w:jc w:val="center"/>
                    <w:rPr>
                      <w:rFonts w:ascii="Arial" w:hAnsi="Arial" w:cs="Arial"/>
                      <w:b/>
                      <w:bCs/>
                    </w:rPr>
                  </w:pPr>
                  <w:r w:rsidRPr="00B32B0A">
                    <w:rPr>
                      <w:rFonts w:ascii="Arial" w:hAnsi="Arial" w:cs="Arial"/>
                      <w:b/>
                      <w:bCs/>
                    </w:rPr>
                    <w:t>DESCRIÇÃO</w:t>
                  </w:r>
                </w:p>
              </w:tc>
              <w:tc>
                <w:tcPr>
                  <w:tcW w:w="1391" w:type="dxa"/>
                </w:tcPr>
                <w:p w14:paraId="6EAD2490" w14:textId="77777777" w:rsidR="005D7F70" w:rsidRPr="00B32B0A" w:rsidRDefault="005D7F70" w:rsidP="005D7F70">
                  <w:pPr>
                    <w:spacing w:line="360" w:lineRule="auto"/>
                    <w:jc w:val="center"/>
                    <w:rPr>
                      <w:rFonts w:ascii="Arial" w:hAnsi="Arial" w:cs="Arial"/>
                      <w:b/>
                      <w:bCs/>
                    </w:rPr>
                  </w:pPr>
                  <w:r w:rsidRPr="00B32B0A">
                    <w:rPr>
                      <w:rFonts w:ascii="Arial" w:hAnsi="Arial" w:cs="Arial"/>
                      <w:b/>
                      <w:bCs/>
                    </w:rPr>
                    <w:t>QTDE</w:t>
                  </w:r>
                </w:p>
              </w:tc>
              <w:tc>
                <w:tcPr>
                  <w:tcW w:w="1880" w:type="dxa"/>
                </w:tcPr>
                <w:p w14:paraId="03608EF8" w14:textId="77777777" w:rsidR="005D7F70" w:rsidRPr="00B32B0A" w:rsidRDefault="005D7F70" w:rsidP="005D7F70">
                  <w:pPr>
                    <w:spacing w:line="360" w:lineRule="auto"/>
                    <w:jc w:val="center"/>
                    <w:rPr>
                      <w:rFonts w:ascii="Arial" w:hAnsi="Arial" w:cs="Arial"/>
                      <w:b/>
                      <w:bCs/>
                    </w:rPr>
                  </w:pPr>
                  <w:r w:rsidRPr="00B32B0A">
                    <w:rPr>
                      <w:rFonts w:ascii="Arial" w:hAnsi="Arial" w:cs="Arial"/>
                      <w:b/>
                      <w:bCs/>
                    </w:rPr>
                    <w:t xml:space="preserve">VALOR ESTIMADO ANUAL (R$) </w:t>
                  </w:r>
                </w:p>
              </w:tc>
            </w:tr>
            <w:tr w:rsidR="005D7F70" w:rsidRPr="00B32B0A" w14:paraId="5526E5C3" w14:textId="77777777" w:rsidTr="00FE2E05">
              <w:trPr>
                <w:trHeight w:val="414"/>
              </w:trPr>
              <w:tc>
                <w:tcPr>
                  <w:tcW w:w="756" w:type="dxa"/>
                </w:tcPr>
                <w:p w14:paraId="43D9038A" w14:textId="77777777" w:rsidR="005D7F70" w:rsidRPr="00B32B0A" w:rsidRDefault="005D7F70" w:rsidP="005D7F70">
                  <w:pPr>
                    <w:spacing w:line="360" w:lineRule="auto"/>
                    <w:jc w:val="both"/>
                    <w:rPr>
                      <w:rFonts w:ascii="Arial" w:hAnsi="Arial" w:cs="Arial"/>
                    </w:rPr>
                  </w:pPr>
                  <w:r w:rsidRPr="00B32B0A">
                    <w:rPr>
                      <w:rFonts w:ascii="Arial" w:hAnsi="Arial" w:cs="Arial"/>
                    </w:rPr>
                    <w:t>01</w:t>
                  </w:r>
                </w:p>
              </w:tc>
              <w:tc>
                <w:tcPr>
                  <w:tcW w:w="4462" w:type="dxa"/>
                </w:tcPr>
                <w:p w14:paraId="7769A4D0" w14:textId="77777777" w:rsidR="005D7F70" w:rsidRPr="00B32B0A" w:rsidRDefault="005D7F70" w:rsidP="005D7F70">
                  <w:pPr>
                    <w:jc w:val="both"/>
                  </w:pPr>
                  <w:r w:rsidRPr="00B32B0A">
                    <w:rPr>
                      <w:rFonts w:ascii="Century Gothic" w:hAnsi="Century Gothic"/>
                      <w:color w:val="000000" w:themeColor="text1"/>
                      <w:sz w:val="20"/>
                      <w:szCs w:val="20"/>
                    </w:rPr>
                    <w:t>PRESTAÇÃO DE SERVIÇOS EM PONTO ANUAL:</w:t>
                  </w:r>
                  <w:r w:rsidRPr="00B32B0A">
                    <w:rPr>
                      <w:rFonts w:ascii="Century Gothic" w:hAnsi="Century Gothic"/>
                      <w:color w:val="000000" w:themeColor="text1"/>
                      <w:sz w:val="20"/>
                      <w:szCs w:val="20"/>
                    </w:rPr>
                    <w:br/>
                    <w:t xml:space="preserve">VISITA TÉCNICA PRESENCIAL/LOCAL COM DURAÇÃO DE ATÉ 05 (CINCO) DIAS SEGUIDOS/CONSECUTIVOS PARA VISTORIA NOS DOS REGISTRADORES ELETRÔNICOS DE PONTO NOS LOCAIS DE INSTALAÇÃO PARA MONITORAMENTO  DO FUNCIONAMENTO, EXTRAÇÃO DO BACKUP DOS BANCOS DE DADOS, EXTRAÇÃO DOS ARQUIVOS FISCAIS AFD PARA ARMAZENAMENTO NO SERVIDOR LOCAL DO MUNICÍPIO E LIMPEZAS EXTERNAS SUPERFICIAIS DOS LEITORES BIOMÉTRICOS </w:t>
                  </w:r>
                  <w:r w:rsidRPr="00B32B0A">
                    <w:rPr>
                      <w:rFonts w:ascii="Century Gothic" w:hAnsi="Century Gothic"/>
                      <w:color w:val="000000" w:themeColor="text1"/>
                      <w:sz w:val="20"/>
                      <w:szCs w:val="20"/>
                    </w:rPr>
                    <w:lastRenderedPageBreak/>
                    <w:t>AFIM DE PRESERVAR E AUMENTAR A VIDA ÚTIL DOS LEITORES. MIGRAÇÃO DO SOFTWARE DE TRATAMENTO DOS REGISTROS DE PONTO ATUAL EXISTENTES NO MUNICÍPIO DE ÁGUIA BRANCA DESDE O ANO DE 2015 REGIDO PELA PORTARIA 1.510/2009 PARA PORTARIA 671/2021 DO MTE (MINISTÉRIO DO TRABALHO E EMPREGO), BEM COMO TAMBÉM ADEQUAÇÃO DA NORMAS DA LGPD (LEI GERAL DE PROTEÇÃO DE DADOS). INCLUSO: LICENÇAS ANUAIS DE USO, ATIVAÇÃO ANUAL DAS LICENÇAS DE USO ON-LINE/REMOTO;</w:t>
                  </w:r>
                  <w:r w:rsidRPr="00B32B0A">
                    <w:rPr>
                      <w:rFonts w:ascii="Century Gothic" w:hAnsi="Century Gothic"/>
                      <w:color w:val="000000" w:themeColor="text1"/>
                      <w:sz w:val="20"/>
                      <w:szCs w:val="20"/>
                    </w:rPr>
                    <w:br/>
                    <w:t>INSTALAÇÃO DO BANCO DE DADOS NO PADRÃO EM SQL SERVER PARA</w:t>
                  </w:r>
                  <w:r w:rsidRPr="00B32B0A">
                    <w:rPr>
                      <w:rFonts w:ascii="Century Gothic" w:hAnsi="Century Gothic"/>
                      <w:color w:val="000000" w:themeColor="text1"/>
                      <w:sz w:val="20"/>
                      <w:szCs w:val="20"/>
                    </w:rPr>
                    <w:br/>
                    <w:t xml:space="preserve">IMPORTAÇÃO DE TODOS OS REGISTROS DE PONTO (BANCO DE DADOS EXISTENTES NOS SISTEMAS A FIM DE PRESERVAR TODOS OS HISTÓRICOS DE REGISTROS DE PONTO ARMAZENADOS E TRATADOS PELO SOFTWARE DE TRATAMENTO DOS REGISTROS DE PONTO ATUAL, GARANTINDO A EXPORTAÇÃO DOS DADOS PARA APRESENTAÇÃO DOS ÓRGÃOS FISCALIZADORES E SERVIDORES CONFORME NECESSIDADES FUTURAS SE HOUVER, CONFIGURAÇÃO DO BANCO DE DADOS DOS SISTEMAS PARA EXPORTAÇÃO DO BANCO DE DADOS/BACKUP AO BANCO DE DADOS NOS PADRÕES EM SQL SERVER, IMPORTAÇÃO DAS JORNADAS DE TRABALHOS, BEM COMO CONFIGURAÇÕES DE GRUPOS DE EXTRAS, ADICIONAIS NOTURNOS, DSR, ESCALAS DE  TRABALHOS, FERIADOS, PONTOS FACULTATIVOS, JUSTIFICATIVAS GERAIS, TODAS CONFIGURAÇÕES E OCORRÊNCIAS EXISTENTES CONFORME HISTÓRICO E REALIDADE ATUAL DOS SISTEMAS, BEM COMO TAMBÉM IMPORTAÇÃO DAS JUSTIFICATIVAS E PONTOS FACULTATIVOS. SUPORTE TÉCNICO/AUXÍLIOS ON-LINE/REMOTO ILIMITADOS CONFORME AGENDAMENTO E SOLICITAÇÕES DOS SERVIDORES RESPONSÁVEIS PELAS UTILIZAÇÕES, AFERIÇÕES E FECHAMENTOS MENSAIS  DOS DADOS TRATADOS NO SOFTWARES DE TRATAMENTO DOS </w:t>
                  </w:r>
                  <w:r w:rsidRPr="00B32B0A">
                    <w:rPr>
                      <w:rFonts w:ascii="Century Gothic" w:hAnsi="Century Gothic"/>
                      <w:color w:val="000000" w:themeColor="text1"/>
                      <w:sz w:val="20"/>
                      <w:szCs w:val="20"/>
                    </w:rPr>
                    <w:br/>
                    <w:t xml:space="preserve">REGISTROS DE PONTO DAS SECRETARIAS MUNICIPAIS DO MUNICÍPIO DE ÁGUIA BRANCA. </w:t>
                  </w:r>
                  <w:r w:rsidRPr="00B32B0A">
                    <w:rPr>
                      <w:rFonts w:ascii="Century Gothic" w:hAnsi="Century Gothic"/>
                      <w:color w:val="000000" w:themeColor="text1"/>
                      <w:sz w:val="20"/>
                      <w:szCs w:val="20"/>
                    </w:rPr>
                    <w:br/>
                    <w:t xml:space="preserve">ADEQUAÇÃO DA EXPANSÃO DA CAPACIDADE DE DADOS DA NOVA VERSÃO REGIDA PELA PORTARIA 671/2021 DO MTE </w:t>
                  </w:r>
                  <w:r w:rsidRPr="00B32B0A">
                    <w:rPr>
                      <w:rFonts w:ascii="Century Gothic" w:hAnsi="Century Gothic"/>
                      <w:color w:val="000000" w:themeColor="text1"/>
                      <w:sz w:val="20"/>
                      <w:szCs w:val="20"/>
                    </w:rPr>
                    <w:lastRenderedPageBreak/>
                    <w:t xml:space="preserve">(MINISTÉRIO DO TRABALHO E EMPREGO) DE ATÉ 400 CADASTROS DE SERVIDORES NO BANCO DE DADOS DA SECRETARIA MUNICIPAL DE SAÚDE E NAS DEMAIS SECRETARIAS EXISTENTES DO MUNICÍPIO A EXPANSÃO DE CADA BANCO DE DADOS DE ATÉ 200 CADASTROS DE SERVIDORES. ATUALIZAÇÕES DAS VERSÕES ILIMITADAS CONFORME NECESSIDADE CONFORME REGRAS FUTURAS DO MTE (MINISTÉRIO DO TRABALHO E EMPREGO). TREINAMENTO PRESENCIAL/LOCAL EM CADA SECRETARIA MUNICIPAL COM CAPACITAÇÃO PARA OPERAÇÃO E CONFIGURAÇÃO DA NOVA VERSÃO DO SOFTWARE DE TRATAMENTO DOS REGISTROS DE PONTO REGIDO PELA PORTARIA 671/2021 DENTRO DO PRAZO PREVISTO DE ATÉ 05 DIAS PARA REALIZAÇÃO DE TODAS AS ADEQUAÇÕES NECESSÁRIAS PARA MIGRAÇÃO E ATIVAÇÃO DA NOVA VERSÃO. CONFIGURAÇÃO E PARAMETRIZAÇÕES DE REDES DE COMUNICAÇÃO INTERNAS ENTRE OS REGISTRADORES ELETRÔNICOS DE REGISTROS DE PONTO E SOFTWARE DE TRATAMENTO DOS REGISTROS DE PONTO PARA GERENCIADORES AUTOMÁTICOS DE REGISTROS, SERVIÇOS ON-LINE DE BACKUP DE DADOS AUTOMÁTICOS DE DADOS DO SOFTWARE DE TRATAMENTO DOS REGISTROS DE PONTO. </w:t>
                  </w:r>
                  <w:r w:rsidRPr="00B32B0A">
                    <w:rPr>
                      <w:rFonts w:cs="Calibri"/>
                      <w:sz w:val="18"/>
                      <w:szCs w:val="18"/>
                    </w:rPr>
                    <w:br/>
                  </w:r>
                </w:p>
                <w:p w14:paraId="2AE4BE0B" w14:textId="77777777" w:rsidR="005D7F70" w:rsidRPr="00B32B0A" w:rsidRDefault="005D7F70" w:rsidP="005D7F70">
                  <w:pPr>
                    <w:spacing w:line="360" w:lineRule="auto"/>
                    <w:jc w:val="both"/>
                    <w:rPr>
                      <w:rFonts w:ascii="Arial" w:hAnsi="Arial" w:cs="Arial"/>
                    </w:rPr>
                  </w:pPr>
                </w:p>
              </w:tc>
              <w:tc>
                <w:tcPr>
                  <w:tcW w:w="1391" w:type="dxa"/>
                </w:tcPr>
                <w:p w14:paraId="245B76DA" w14:textId="77777777" w:rsidR="005D7F70" w:rsidRPr="00B32B0A" w:rsidRDefault="005D7F70" w:rsidP="005D7F70">
                  <w:pPr>
                    <w:spacing w:line="360" w:lineRule="auto"/>
                    <w:jc w:val="both"/>
                    <w:rPr>
                      <w:rFonts w:ascii="Arial" w:hAnsi="Arial" w:cs="Arial"/>
                    </w:rPr>
                  </w:pPr>
                  <w:r w:rsidRPr="00B32B0A">
                    <w:rPr>
                      <w:rFonts w:ascii="Arial" w:hAnsi="Arial" w:cs="Arial"/>
                    </w:rPr>
                    <w:lastRenderedPageBreak/>
                    <w:t>01 UN</w:t>
                  </w:r>
                </w:p>
              </w:tc>
              <w:tc>
                <w:tcPr>
                  <w:tcW w:w="1880" w:type="dxa"/>
                </w:tcPr>
                <w:p w14:paraId="63EB4E47" w14:textId="77777777" w:rsidR="005D7F70" w:rsidRPr="00B32B0A" w:rsidRDefault="005D7F70" w:rsidP="005D7F70">
                  <w:pPr>
                    <w:spacing w:line="360" w:lineRule="auto"/>
                    <w:jc w:val="both"/>
                    <w:rPr>
                      <w:rFonts w:ascii="Arial" w:hAnsi="Arial" w:cs="Arial"/>
                    </w:rPr>
                  </w:pPr>
                  <w:r w:rsidRPr="00B32B0A">
                    <w:rPr>
                      <w:rFonts w:ascii="Arial" w:hAnsi="Arial" w:cs="Arial"/>
                    </w:rPr>
                    <w:t>30.000,00</w:t>
                  </w:r>
                </w:p>
              </w:tc>
            </w:tr>
          </w:tbl>
          <w:p w14:paraId="40FBF57E" w14:textId="3430027C" w:rsidR="005D7F70" w:rsidRDefault="005D7F70" w:rsidP="005D7F70">
            <w:pPr>
              <w:jc w:val="both"/>
              <w:rPr>
                <w:rFonts w:cs="Arial"/>
                <w:b/>
              </w:rPr>
            </w:pPr>
          </w:p>
        </w:tc>
      </w:tr>
    </w:tbl>
    <w:p w14:paraId="66AC3001" w14:textId="77777777" w:rsidR="00551511" w:rsidRDefault="00551511" w:rsidP="00551511">
      <w:pPr>
        <w:jc w:val="both"/>
        <w:rPr>
          <w:rFonts w:cs="Arial"/>
          <w:b/>
        </w:rPr>
      </w:pPr>
    </w:p>
    <w:p w14:paraId="110097A2" w14:textId="77777777" w:rsidR="00402F3B" w:rsidRPr="001D3B35" w:rsidRDefault="00402F3B" w:rsidP="00402F3B">
      <w:pPr>
        <w:autoSpaceDE w:val="0"/>
        <w:autoSpaceDN w:val="0"/>
        <w:adjustRightInd w:val="0"/>
        <w:jc w:val="both"/>
        <w:rPr>
          <w:rFonts w:cs="Arial"/>
          <w:b/>
          <w:sz w:val="24"/>
          <w:szCs w:val="24"/>
        </w:rPr>
      </w:pPr>
      <w:bookmarkStart w:id="1" w:name="_Hlk209511924"/>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w:t>
      </w:r>
      <w:r w:rsidR="008929C6">
        <w:lastRenderedPageBreak/>
        <w:t xml:space="preserve">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530843B2" w:rsidR="008929C6" w:rsidRDefault="003B467B" w:rsidP="006714F2">
      <w:pPr>
        <w:pStyle w:val="Corpodetexto"/>
        <w:spacing w:after="0" w:line="200" w:lineRule="atLeast"/>
        <w:jc w:val="both"/>
      </w:pPr>
      <w:r>
        <w:t>Águia Branca - ES</w:t>
      </w:r>
      <w:r w:rsidR="008929C6">
        <w:t xml:space="preserve">, </w:t>
      </w:r>
      <w:r w:rsidR="0012441A">
        <w:rPr>
          <w:highlight w:val="yellow"/>
        </w:rPr>
        <w:t>02</w:t>
      </w:r>
      <w:r w:rsidR="00644EEF">
        <w:rPr>
          <w:highlight w:val="yellow"/>
        </w:rPr>
        <w:t xml:space="preserve"> </w:t>
      </w:r>
      <w:r w:rsidR="00117736">
        <w:rPr>
          <w:highlight w:val="yellow"/>
        </w:rPr>
        <w:t xml:space="preserve">de </w:t>
      </w:r>
      <w:r w:rsidR="0012441A">
        <w:rPr>
          <w:highlight w:val="yellow"/>
        </w:rPr>
        <w:t>fevcereiro</w:t>
      </w:r>
      <w:r w:rsidR="008929C6" w:rsidRPr="003B467B">
        <w:rPr>
          <w:highlight w:val="yellow"/>
        </w:rPr>
        <w:t xml:space="preserve"> de 202</w:t>
      </w:r>
      <w:r w:rsidR="0012441A">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2711CAC" w14:textId="77777777" w:rsidR="00117736" w:rsidRDefault="00117736" w:rsidP="003B467B">
      <w:pPr>
        <w:pStyle w:val="Corpodetexto"/>
        <w:spacing w:after="0" w:line="200" w:lineRule="atLeast"/>
        <w:jc w:val="center"/>
        <w:rPr>
          <w:b/>
        </w:rPr>
      </w:pPr>
    </w:p>
    <w:p w14:paraId="177B0162" w14:textId="783111BB" w:rsidR="00B32B0A" w:rsidRPr="00B32B0A" w:rsidRDefault="00B32B0A" w:rsidP="00B32B0A">
      <w:pPr>
        <w:jc w:val="center"/>
        <w:rPr>
          <w:rFonts w:ascii="Arial" w:eastAsia="Times New Roman" w:hAnsi="Arial" w:cs="Arial"/>
          <w:color w:val="000000"/>
          <w:sz w:val="24"/>
          <w:szCs w:val="24"/>
        </w:rPr>
      </w:pPr>
      <w:r w:rsidRPr="00B32B0A">
        <w:rPr>
          <w:rFonts w:ascii="Arial" w:eastAsia="Times New Roman" w:hAnsi="Arial" w:cs="Arial"/>
          <w:b/>
          <w:bCs/>
          <w:color w:val="000000"/>
        </w:rPr>
        <w:t>TERMO DE REFERÊNCIA</w:t>
      </w:r>
      <w:r w:rsidR="009467BB">
        <w:rPr>
          <w:rFonts w:ascii="Arial" w:eastAsia="Times New Roman" w:hAnsi="Arial" w:cs="Arial"/>
          <w:color w:val="000000"/>
        </w:rPr>
        <w:t>/</w:t>
      </w:r>
      <w:r w:rsidR="009467BB" w:rsidRPr="009467BB">
        <w:rPr>
          <w:rFonts w:ascii="Arial" w:eastAsia="Times New Roman" w:hAnsi="Arial" w:cs="Arial"/>
          <w:b/>
          <w:bCs/>
          <w:color w:val="000000"/>
        </w:rPr>
        <w:t>REDIGIDO PELO SETOR REQUERENTE</w:t>
      </w:r>
    </w:p>
    <w:p w14:paraId="64F0D102"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1. DO OBJETO</w:t>
      </w:r>
    </w:p>
    <w:p w14:paraId="058F33B7" w14:textId="77777777" w:rsidR="00B32B0A" w:rsidRPr="00B32B0A" w:rsidRDefault="00B32B0A" w:rsidP="00B32B0A">
      <w:pPr>
        <w:keepNext/>
        <w:keepLines/>
        <w:spacing w:before="40" w:after="0"/>
        <w:jc w:val="both"/>
        <w:outlineLvl w:val="3"/>
        <w:rPr>
          <w:rFonts w:ascii="Arial" w:eastAsia="Times New Roman" w:hAnsi="Arial" w:cs="Arial"/>
          <w:color w:val="000000"/>
          <w:sz w:val="24"/>
          <w:szCs w:val="24"/>
        </w:rPr>
      </w:pPr>
      <w:r w:rsidRPr="00B32B0A">
        <w:rPr>
          <w:rFonts w:ascii="Arial" w:eastAsia="Times New Roman" w:hAnsi="Arial" w:cs="Arial"/>
          <w:color w:val="000000"/>
          <w:sz w:val="24"/>
          <w:szCs w:val="24"/>
        </w:rPr>
        <w:t>Contratação de empresa especializada para prestação de serviços anuais relativos aos Registradores Eletrônicos de Ponto (REP) e Software de Tratamento, compreendendo: visita técnica presencial, migração para a </w:t>
      </w:r>
      <w:hyperlink r:id="rId8" w:tgtFrame="_blank" w:history="1">
        <w:r w:rsidRPr="00B32B0A">
          <w:rPr>
            <w:rFonts w:ascii="Arial" w:eastAsia="Times New Roman" w:hAnsi="Arial" w:cs="Arial"/>
            <w:sz w:val="24"/>
            <w:szCs w:val="24"/>
            <w:u w:val="single"/>
          </w:rPr>
          <w:t>Portaria MTE nº 671/2021</w:t>
        </w:r>
      </w:hyperlink>
      <w:r w:rsidRPr="00B32B0A">
        <w:rPr>
          <w:rFonts w:ascii="Arial" w:eastAsia="Times New Roman" w:hAnsi="Arial" w:cs="Arial"/>
          <w:sz w:val="24"/>
          <w:szCs w:val="24"/>
        </w:rPr>
        <w:t xml:space="preserve">, </w:t>
      </w:r>
      <w:r w:rsidRPr="00B32B0A">
        <w:rPr>
          <w:rFonts w:ascii="Arial" w:eastAsia="Times New Roman" w:hAnsi="Arial" w:cs="Arial"/>
          <w:color w:val="000000"/>
          <w:sz w:val="24"/>
          <w:szCs w:val="24"/>
        </w:rPr>
        <w:t>adequação à LGPD, licenciamento de software, suporte técnico remoto ilimitado e treinamento presencial.</w:t>
      </w:r>
    </w:p>
    <w:p w14:paraId="61BF9BDD" w14:textId="77777777" w:rsidR="00B32B0A" w:rsidRPr="00B32B0A" w:rsidRDefault="00B32B0A" w:rsidP="00B32B0A">
      <w:pPr>
        <w:keepNext/>
        <w:keepLines/>
        <w:spacing w:before="40" w:after="0"/>
        <w:outlineLvl w:val="3"/>
        <w:rPr>
          <w:rFonts w:ascii="Arial" w:eastAsia="Times New Roman" w:hAnsi="Arial" w:cs="Arial"/>
          <w:i/>
          <w:iCs/>
          <w:color w:val="000000"/>
        </w:rPr>
      </w:pPr>
      <w:r w:rsidRPr="00B32B0A">
        <w:rPr>
          <w:rFonts w:ascii="Arial" w:eastAsia="Times New Roman" w:hAnsi="Arial" w:cs="Arial"/>
          <w:b/>
          <w:bCs/>
          <w:i/>
          <w:iCs/>
          <w:color w:val="000000"/>
        </w:rPr>
        <w:t>2</w:t>
      </w:r>
      <w:r w:rsidRPr="00B32B0A">
        <w:rPr>
          <w:rFonts w:ascii="Arial" w:eastAsia="Times New Roman" w:hAnsi="Arial" w:cs="Arial"/>
          <w:b/>
          <w:bCs/>
          <w:color w:val="000000"/>
        </w:rPr>
        <w:t>. FUNDAMENTAÇÃO E DESCRIÇÃO DA NECESSIDADE</w:t>
      </w:r>
    </w:p>
    <w:p w14:paraId="0ECB69D2"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2.1</w:t>
      </w:r>
      <w:r w:rsidRPr="00B32B0A">
        <w:rPr>
          <w:rFonts w:ascii="Arial" w:eastAsia="Times New Roman" w:hAnsi="Arial" w:cs="Arial"/>
          <w:color w:val="000000"/>
          <w:sz w:val="24"/>
          <w:szCs w:val="24"/>
        </w:rPr>
        <w:t>. A Fundamentação da Contratação e de seus quantitativos encontra-se pormenorizada em Tópico específico dos Estudos Técnicos Preliminares, apêndice deste Termo de Referência.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2.2</w:t>
      </w:r>
      <w:r w:rsidRPr="00B32B0A">
        <w:rPr>
          <w:rFonts w:ascii="Arial" w:eastAsia="Times New Roman" w:hAnsi="Arial" w:cs="Arial"/>
          <w:color w:val="000000"/>
          <w:sz w:val="24"/>
          <w:szCs w:val="24"/>
        </w:rPr>
        <w:t>. O objeto da contratação está previsto no Plano de Contratações Anual 2026, conforme consta das informações básicas desse termo de referência.</w:t>
      </w:r>
    </w:p>
    <w:p w14:paraId="2CA74C6C"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3. DA JUSTIFICATIVA E DO OBJETO DA PRESENTE CONTRATAÇÃO</w:t>
      </w:r>
    </w:p>
    <w:p w14:paraId="292B8861" w14:textId="77777777" w:rsidR="00B32B0A" w:rsidRPr="00B32B0A" w:rsidRDefault="00B32B0A" w:rsidP="00B32B0A">
      <w:pPr>
        <w:jc w:val="both"/>
        <w:rPr>
          <w:rFonts w:ascii="Arial" w:eastAsia="Times New Roman" w:hAnsi="Arial" w:cs="Arial"/>
          <w:color w:val="000000"/>
        </w:rPr>
      </w:pPr>
      <w:r w:rsidRPr="00B32B0A">
        <w:rPr>
          <w:rFonts w:ascii="Arial" w:eastAsia="Times New Roman" w:hAnsi="Arial" w:cs="Arial"/>
          <w:color w:val="000000"/>
        </w:rPr>
        <w:t>A contratação do serviço anual online remoto ilimitado de suporte técnico em software de tratamento de ponto Secullum se faz necessária para garantir o bom funcionamento do sistema de controle de ponto dos servidores da empresa. Com um banco de dados offline de cadastros de servidores, é fundamental contar com um suporte especializado que possa auxiliar na resolução de problemas e na manutenção do software.</w:t>
      </w:r>
      <w:r w:rsidRPr="00B32B0A">
        <w:rPr>
          <w:rFonts w:ascii="Arial" w:eastAsia="Times New Roman" w:hAnsi="Arial" w:cs="Arial"/>
          <w:color w:val="000000"/>
        </w:rPr>
        <w:br/>
      </w:r>
      <w:r w:rsidRPr="00B32B0A">
        <w:rPr>
          <w:rFonts w:ascii="Arial" w:eastAsia="Times New Roman" w:hAnsi="Arial" w:cs="Arial"/>
          <w:color w:val="000000"/>
        </w:rPr>
        <w:br/>
        <w:t>Além disso, a inclusão do licenciamento e ativação da licença de uso do software é essencial para garantir a legalidade e a continuidade da utilização do sistema. A visita técnica presencial para treinamento capacitivo e vistoria nos registradores eletrônicos de ponto também é importante para garantir que os equipamentos estejam funcionando corretamente e de acordo com as normas vigentes.</w:t>
      </w:r>
      <w:r w:rsidRPr="00B32B0A">
        <w:rPr>
          <w:rFonts w:ascii="Arial" w:eastAsia="Times New Roman" w:hAnsi="Arial" w:cs="Arial"/>
          <w:color w:val="000000"/>
        </w:rPr>
        <w:br/>
      </w:r>
      <w:r w:rsidRPr="00B32B0A">
        <w:rPr>
          <w:rFonts w:ascii="Arial" w:eastAsia="Times New Roman" w:hAnsi="Arial" w:cs="Arial"/>
          <w:color w:val="000000"/>
        </w:rPr>
        <w:br/>
        <w:t>A parametrização da rede de comunicação entre os registradores eletrônicos de ponto e o software de tratamento do ponto é um passo fundamental para garantir a integridade e a segurança dos dados dos servidores, evitando possíveis falhas na transmissão das informações.</w:t>
      </w:r>
      <w:r w:rsidRPr="00B32B0A">
        <w:rPr>
          <w:rFonts w:ascii="Arial" w:eastAsia="Times New Roman" w:hAnsi="Arial" w:cs="Arial"/>
          <w:color w:val="000000"/>
        </w:rPr>
        <w:br/>
      </w:r>
      <w:r w:rsidRPr="00B32B0A">
        <w:rPr>
          <w:rFonts w:ascii="Arial" w:eastAsia="Times New Roman" w:hAnsi="Arial" w:cs="Arial"/>
          <w:color w:val="000000"/>
        </w:rPr>
        <w:br/>
        <w:t xml:space="preserve">Considerando que a correta gestão do tempo de trabalho dos servidores é crucial para o </w:t>
      </w:r>
      <w:r w:rsidRPr="00B32B0A">
        <w:rPr>
          <w:rFonts w:ascii="Arial" w:eastAsia="Times New Roman" w:hAnsi="Arial" w:cs="Arial"/>
          <w:color w:val="000000"/>
        </w:rPr>
        <w:lastRenderedPageBreak/>
        <w:t>adequado funcionamento da empresa, a contratação desse serviço é de interesse público. Garantir que todos os pagamentos de salários e benefícios sejam feitos de acordo com as horas trabalhadas é fundamental para manter a transparência e a eficiência da gestão pública.</w:t>
      </w:r>
      <w:r w:rsidRPr="00B32B0A">
        <w:rPr>
          <w:rFonts w:ascii="Arial" w:eastAsia="Times New Roman" w:hAnsi="Arial" w:cs="Arial"/>
          <w:color w:val="000000"/>
        </w:rPr>
        <w:br/>
      </w:r>
      <w:r w:rsidRPr="00B32B0A">
        <w:rPr>
          <w:rFonts w:ascii="Arial" w:eastAsia="Times New Roman" w:hAnsi="Arial" w:cs="Arial"/>
          <w:color w:val="000000"/>
        </w:rPr>
        <w:br/>
        <w:t xml:space="preserve">Assim, investir em um suporte técnico especializado e em treinamentos para a equipe responsável pelo controle de ponto é fundamental para garantir o cumprimento das leis trabalhistas e a eficiência na gestão de recursos humanos da empresa. </w:t>
      </w:r>
    </w:p>
    <w:p w14:paraId="061BAD1C" w14:textId="77777777" w:rsidR="00B32B0A" w:rsidRPr="00B32B0A" w:rsidRDefault="00B32B0A" w:rsidP="00B32B0A">
      <w:pPr>
        <w:jc w:val="both"/>
        <w:rPr>
          <w:rFonts w:ascii="Arial" w:eastAsia="Times New Roman" w:hAnsi="Arial" w:cs="Arial"/>
          <w:color w:val="000000"/>
        </w:rPr>
      </w:pPr>
      <w:r w:rsidRPr="00B32B0A">
        <w:rPr>
          <w:rFonts w:ascii="Arial" w:eastAsia="Times New Roman" w:hAnsi="Arial" w:cs="Arial"/>
          <w:color w:val="000000"/>
        </w:rPr>
        <w:br/>
      </w:r>
      <w:r w:rsidRPr="00B32B0A">
        <w:rPr>
          <w:rFonts w:ascii="Arial" w:eastAsia="Times New Roman" w:hAnsi="Arial" w:cs="Arial"/>
          <w:color w:val="000000"/>
        </w:rPr>
        <w:br/>
        <w:t>Portanto, a contratação desses serviços não só resolverá os problemas atuais enfrentados pelo sistema de controle de ponto, mas também garantirá maior eficiência, transparência e segurança nas relações de trabalho dos servidores públicos, atendendo assim ao interesse público e garantindo um funcionamento adequado e eficaz do sistema.</w:t>
      </w:r>
    </w:p>
    <w:p w14:paraId="6ECCC3AA"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4. DA DESCRIÇÃO DA SOLUÇÃO</w:t>
      </w:r>
    </w:p>
    <w:p w14:paraId="407B4F50"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4.1</w:t>
      </w:r>
      <w:r w:rsidRPr="00B32B0A">
        <w:rPr>
          <w:rFonts w:ascii="Arial" w:eastAsia="Times New Roman" w:hAnsi="Arial" w:cs="Arial"/>
          <w:color w:val="000000"/>
          <w:sz w:val="24"/>
          <w:szCs w:val="24"/>
        </w:rPr>
        <w:t>. As especificações e quantitativos estão descritas no anexo </w:t>
      </w:r>
    </w:p>
    <w:p w14:paraId="559E81F5"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6. DO MODELO DE GESTÃO DE CONTRATO</w:t>
      </w:r>
    </w:p>
    <w:p w14:paraId="3CEC824D"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6.1</w:t>
      </w:r>
      <w:r w:rsidRPr="00B32B0A">
        <w:rPr>
          <w:rFonts w:ascii="Arial" w:eastAsia="Times New Roman" w:hAnsi="Arial" w:cs="Arial"/>
          <w:color w:val="000000"/>
          <w:sz w:val="24"/>
          <w:szCs w:val="24"/>
        </w:rPr>
        <w:t>. O contrato deverá ser executado fielmente pelas partes, de acordo com as cláusulas avençadas e as normas da Lei nº 14.133, de 2021, e cada parte responderá pelas consequências de sua inexecução total ou parcial.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6.2</w:t>
      </w:r>
      <w:r w:rsidRPr="00B32B0A">
        <w:rPr>
          <w:rFonts w:ascii="Arial" w:eastAsia="Times New Roman" w:hAnsi="Arial" w:cs="Arial"/>
          <w:color w:val="000000"/>
          <w:sz w:val="24"/>
          <w:szCs w:val="24"/>
        </w:rPr>
        <w:t>. Em caso de impedimento, ordem de paralisação ou suspensão do contrato, o cronograma de execução será prorrogado automaticamente pelo tempo correspondente, anotadas tais circunstâncias mediante simples apostila.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6.3</w:t>
      </w:r>
      <w:r w:rsidRPr="00B32B0A">
        <w:rPr>
          <w:rFonts w:ascii="Arial" w:eastAsia="Times New Roman" w:hAnsi="Arial" w:cs="Arial"/>
          <w:color w:val="000000"/>
          <w:sz w:val="24"/>
          <w:szCs w:val="24"/>
        </w:rPr>
        <w:t>. As comunicações entre o órgão ou entidade e a contratada devem ser realizadas por escrito sempre que o ato exigir tal formalidade, admitindo-se o uso de mensagem eletrônica para esse fim.</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6.4</w:t>
      </w:r>
      <w:r w:rsidRPr="00B32B0A">
        <w:rPr>
          <w:rFonts w:ascii="Arial" w:eastAsia="Times New Roman" w:hAnsi="Arial" w:cs="Arial"/>
          <w:color w:val="000000"/>
          <w:sz w:val="24"/>
          <w:szCs w:val="24"/>
        </w:rPr>
        <w:t>. O órgão ou entidade poderá convocar representante da empresa para adoção de providências que devam ser cumpridas de imediato.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6.5.</w:t>
      </w:r>
      <w:r w:rsidRPr="00B32B0A">
        <w:rPr>
          <w:rFonts w:ascii="Arial" w:eastAsia="Times New Roman" w:hAnsi="Arial" w:cs="Arial"/>
          <w:color w:val="000000"/>
          <w:sz w:val="24"/>
          <w:szCs w:val="24"/>
        </w:rPr>
        <w:t xml:space="preserve">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r w:rsidRPr="00B32B0A">
        <w:rPr>
          <w:rFonts w:ascii="Arial" w:eastAsia="Times New Roman" w:hAnsi="Arial" w:cs="Arial"/>
          <w:color w:val="000000"/>
          <w:sz w:val="24"/>
          <w:szCs w:val="24"/>
        </w:rPr>
        <w:br/>
        <w:t>Fiscalização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6.6.</w:t>
      </w:r>
      <w:r w:rsidRPr="00B32B0A">
        <w:rPr>
          <w:rFonts w:ascii="Arial" w:eastAsia="Times New Roman" w:hAnsi="Arial" w:cs="Arial"/>
          <w:color w:val="000000"/>
          <w:sz w:val="24"/>
          <w:szCs w:val="24"/>
        </w:rPr>
        <w:t xml:space="preserve"> A execução do contrato deverá ser acompanhada e fiscalizada pelo(s) fiscal(is) do contrato, ou pelos respectivos substitutos (Lei nº 14.133, de 2021, art. 117,caput).Fiscalização Técnica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6.7</w:t>
      </w:r>
      <w:r w:rsidRPr="00B32B0A">
        <w:rPr>
          <w:rFonts w:ascii="Arial" w:eastAsia="Times New Roman" w:hAnsi="Arial" w:cs="Arial"/>
          <w:color w:val="000000"/>
          <w:sz w:val="24"/>
          <w:szCs w:val="24"/>
        </w:rPr>
        <w:t>. O fiscal técnico do contrato acompanhará a execução do contrato, para que sejam cumpridas todas as condições estabelecidas no contrato, de modo a assegurar os melhores resultados para a Administração. (Decreto nº 11.246, de 2022, art. 7º, parágrafo único, inciso II).</w:t>
      </w:r>
      <w:r w:rsidRPr="00B32B0A">
        <w:rPr>
          <w:rFonts w:ascii="Arial" w:eastAsia="Times New Roman" w:hAnsi="Arial" w:cs="Arial"/>
          <w:color w:val="000000"/>
          <w:sz w:val="24"/>
          <w:szCs w:val="24"/>
        </w:rPr>
        <w:br/>
        <w:t>Fiscalização Administrativa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6.8</w:t>
      </w:r>
      <w:r w:rsidRPr="00B32B0A">
        <w:rPr>
          <w:rFonts w:ascii="Arial" w:eastAsia="Times New Roman" w:hAnsi="Arial" w:cs="Arial"/>
          <w:color w:val="000000"/>
          <w:sz w:val="24"/>
          <w:szCs w:val="24"/>
        </w:rPr>
        <w:t xml:space="preserve">. A fiscalização administrativa consistirá no acompanhamento da regularidade </w:t>
      </w:r>
      <w:r w:rsidRPr="00B32B0A">
        <w:rPr>
          <w:rFonts w:ascii="Arial" w:eastAsia="Times New Roman" w:hAnsi="Arial" w:cs="Arial"/>
          <w:color w:val="000000"/>
          <w:sz w:val="24"/>
          <w:szCs w:val="24"/>
        </w:rPr>
        <w:lastRenderedPageBreak/>
        <w:t>fiscal, trabalhista e previdenciária da contratada, dentre outras obrigações legais e contratuais. (Decreto nº 11.246, de 2022, art. 7º, parágrafo único, inciso III).</w:t>
      </w:r>
      <w:r w:rsidRPr="00B32B0A">
        <w:rPr>
          <w:rFonts w:ascii="Arial" w:eastAsia="Times New Roman" w:hAnsi="Arial" w:cs="Arial"/>
          <w:color w:val="000000"/>
          <w:sz w:val="24"/>
          <w:szCs w:val="24"/>
        </w:rPr>
        <w:br/>
        <w:t>Fiscalização Setorial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6.9.</w:t>
      </w:r>
      <w:r w:rsidRPr="00B32B0A">
        <w:rPr>
          <w:rFonts w:ascii="Arial" w:eastAsia="Times New Roman" w:hAnsi="Arial" w:cs="Arial"/>
          <w:color w:val="000000"/>
          <w:sz w:val="24"/>
          <w:szCs w:val="24"/>
        </w:rPr>
        <w:t xml:space="preserve"> O contrato será acompanhado por fiscal setorial designado pela Administração para atuar em áreas específicas, incluindo, quando for o caso, aspectos de segurança, preservação ambiental e outros domínios específicos do contrato. (Decreto nº 11.246, de 2022, art. 7º, parágrafo único, inciso IV).</w:t>
      </w:r>
      <w:r w:rsidRPr="00B32B0A">
        <w:rPr>
          <w:rFonts w:ascii="Arial" w:eastAsia="Times New Roman" w:hAnsi="Arial" w:cs="Arial"/>
          <w:color w:val="000000"/>
          <w:sz w:val="24"/>
          <w:szCs w:val="24"/>
        </w:rPr>
        <w:br/>
        <w:t>Aplicação de Sanções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6.10</w:t>
      </w:r>
      <w:r w:rsidRPr="00B32B0A">
        <w:rPr>
          <w:rFonts w:ascii="Arial" w:eastAsia="Times New Roman" w:hAnsi="Arial" w:cs="Arial"/>
          <w:color w:val="000000"/>
          <w:sz w:val="24"/>
          <w:szCs w:val="24"/>
        </w:rPr>
        <w:t>. Pela inexecução parcial ou total do contrato, a Administração poderá aplicar à contratada as seguintes sanções: advertência; multa; impedimento de licitar e contratar; e declaração de inidoneidade para licitar ou contratar (Lei nº 14.133, de 2021, arts. 156 e 158).</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6.11.</w:t>
      </w:r>
      <w:r w:rsidRPr="00B32B0A">
        <w:rPr>
          <w:rFonts w:ascii="Arial" w:eastAsia="Times New Roman" w:hAnsi="Arial" w:cs="Arial"/>
          <w:color w:val="000000"/>
          <w:sz w:val="24"/>
          <w:szCs w:val="24"/>
        </w:rPr>
        <w:t xml:space="preserve"> As sanções previstas no subitem anterior poderão ser aplicadas cumulativamente e não excluem outras previsões de sanções constantes do contrato e na legislação aplicável.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6.12</w:t>
      </w:r>
      <w:r w:rsidRPr="00B32B0A">
        <w:rPr>
          <w:rFonts w:ascii="Arial" w:eastAsia="Times New Roman" w:hAnsi="Arial" w:cs="Arial"/>
          <w:color w:val="000000"/>
          <w:sz w:val="24"/>
          <w:szCs w:val="24"/>
        </w:rPr>
        <w:t>. Após o cumprimento das etapas de apuração de responsabilidade, assegurado o contraditório e a ampla defesa, se for o caso, a fiscalização deverá informar à contratada sobre a aplicação da sanção e encaminhar os autos do processo ao órgão competente para decidir sobre o procedimento, de acordo com a legislação aplicável.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6.13</w:t>
      </w:r>
      <w:r w:rsidRPr="00B32B0A">
        <w:rPr>
          <w:rFonts w:ascii="Arial" w:eastAsia="Times New Roman" w:hAnsi="Arial" w:cs="Arial"/>
          <w:color w:val="000000"/>
          <w:sz w:val="24"/>
          <w:szCs w:val="24"/>
        </w:rPr>
        <w:t>. A fiscalização deve verificar a adimplência dos débitos decorrentes de eventuais multas ou outras sanções aplicadas à contratada.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6.14</w:t>
      </w:r>
      <w:r w:rsidRPr="00B32B0A">
        <w:rPr>
          <w:rFonts w:ascii="Arial" w:eastAsia="Times New Roman" w:hAnsi="Arial" w:cs="Arial"/>
          <w:color w:val="000000"/>
          <w:sz w:val="24"/>
          <w:szCs w:val="24"/>
        </w:rPr>
        <w:t>. A aplicação das sanções será devidamente registrada e anotada no Sistema Eletrônico de Contratações, quando for o caso.</w:t>
      </w:r>
    </w:p>
    <w:p w14:paraId="584F85D5"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7. DOS CRITÉRIOS DE MEDIÇÃO E PAGAMENTO</w:t>
      </w:r>
    </w:p>
    <w:p w14:paraId="7DCE2F9D" w14:textId="77777777" w:rsidR="00B32B0A" w:rsidRPr="00B32B0A" w:rsidRDefault="00B32B0A" w:rsidP="00B32B0A">
      <w:pPr>
        <w:spacing w:before="100" w:beforeAutospacing="1" w:after="100" w:afterAutospacing="1" w:line="240" w:lineRule="auto"/>
        <w:jc w:val="both"/>
        <w:rPr>
          <w:rFonts w:ascii="Arial" w:eastAsia="Times New Roman" w:hAnsi="Arial" w:cs="Arial"/>
          <w:b/>
          <w:bCs/>
          <w:color w:val="000000"/>
          <w:sz w:val="24"/>
          <w:szCs w:val="24"/>
        </w:rPr>
      </w:pPr>
      <w:r w:rsidRPr="00B32B0A">
        <w:rPr>
          <w:rFonts w:ascii="Arial" w:eastAsia="Times New Roman" w:hAnsi="Arial" w:cs="Arial"/>
          <w:b/>
          <w:bCs/>
          <w:color w:val="000000"/>
          <w:sz w:val="24"/>
          <w:szCs w:val="24"/>
        </w:rPr>
        <w:t>7.1</w:t>
      </w:r>
      <w:r w:rsidRPr="00B32B0A">
        <w:rPr>
          <w:rFonts w:ascii="Arial" w:eastAsia="Times New Roman" w:hAnsi="Arial" w:cs="Arial"/>
          <w:color w:val="000000"/>
          <w:sz w:val="24"/>
          <w:szCs w:val="24"/>
        </w:rPr>
        <w:t>. Os bens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 e na proposta.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7.2</w:t>
      </w:r>
      <w:r w:rsidRPr="00B32B0A">
        <w:rPr>
          <w:rFonts w:ascii="Arial" w:eastAsia="Times New Roman" w:hAnsi="Arial" w:cs="Arial"/>
          <w:color w:val="000000"/>
          <w:sz w:val="24"/>
          <w:szCs w:val="24"/>
        </w:rPr>
        <w:t>. Os bens poderão ser rejeitados, no todo ou em parte, inclusive antes do recebimento provisório, quando em desacordo com as especificações constantes no Termo de Referência e na proposta, devendo ser substituídos no prazo de 03 (três) dias, a contar da notificação da contratada, às suas custas, sem prejuízo da aplicação das penalidades.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7.3</w:t>
      </w:r>
      <w:r w:rsidRPr="00B32B0A">
        <w:rPr>
          <w:rFonts w:ascii="Arial" w:eastAsia="Times New Roman" w:hAnsi="Arial" w:cs="Arial"/>
          <w:color w:val="000000"/>
          <w:sz w:val="24"/>
          <w:szCs w:val="24"/>
        </w:rPr>
        <w:t>. O recebimento definitivo ocorrerá no prazo de 10(dez) dias úteis, a contar do recebimento da nota fiscal ou instrumento de cobrança equivalente pela Administração, após a verificação da qualidade e quantidade do material e consequente aceitação mediante termo detalhado.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7.4</w:t>
      </w:r>
      <w:r w:rsidRPr="00B32B0A">
        <w:rPr>
          <w:rFonts w:ascii="Arial" w:eastAsia="Times New Roman" w:hAnsi="Arial" w:cs="Arial"/>
          <w:color w:val="000000"/>
          <w:sz w:val="24"/>
          <w:szCs w:val="24"/>
        </w:rPr>
        <w:t>. Para as contratações decorrentes de despesas cujos valores não ultrapassem o limite de que trata o inciso II do art. 75 da Lei nº 14.133, de 2021.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7.5</w:t>
      </w:r>
      <w:r w:rsidRPr="00B32B0A">
        <w:rPr>
          <w:rFonts w:ascii="Arial" w:eastAsia="Times New Roman" w:hAnsi="Arial" w:cs="Arial"/>
          <w:color w:val="000000"/>
          <w:sz w:val="24"/>
          <w:szCs w:val="24"/>
        </w:rPr>
        <w:t>. O prazo para recebimento definitivo poderá ser excepcionalmente prorrogado, de forma justificada, por igual período, quando houver necessidade de diligências para a aferição do atendimento das exigências contratuais.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7.6</w:t>
      </w:r>
      <w:r w:rsidRPr="00B32B0A">
        <w:rPr>
          <w:rFonts w:ascii="Arial" w:eastAsia="Times New Roman" w:hAnsi="Arial" w:cs="Arial"/>
          <w:color w:val="000000"/>
          <w:sz w:val="24"/>
          <w:szCs w:val="24"/>
        </w:rPr>
        <w:t xml:space="preserve">. No caso de controvérsia sobre a execução do objeto, quanto à dimensão, qualidade e quantidade, deverá ser observado o teor do art. 143 da Lei nº 14.133, de 2021, comunicando-se à empresa para emissão de Nota Fiscal no que pertine à </w:t>
      </w:r>
      <w:r w:rsidRPr="00B32B0A">
        <w:rPr>
          <w:rFonts w:ascii="Arial" w:eastAsia="Times New Roman" w:hAnsi="Arial" w:cs="Arial"/>
          <w:color w:val="000000"/>
          <w:sz w:val="24"/>
          <w:szCs w:val="24"/>
        </w:rPr>
        <w:lastRenderedPageBreak/>
        <w:t>parcela incontroversa da execução do objeto, para efeito de liquidação e pagamento.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7.7.</w:t>
      </w:r>
      <w:r w:rsidRPr="00B32B0A">
        <w:rPr>
          <w:rFonts w:ascii="Arial" w:eastAsia="Times New Roman" w:hAnsi="Arial" w:cs="Arial"/>
          <w:color w:val="000000"/>
          <w:sz w:val="24"/>
          <w:szCs w:val="24"/>
        </w:rPr>
        <w:t xml:space="preserve">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7.8</w:t>
      </w:r>
      <w:r w:rsidRPr="00B32B0A">
        <w:rPr>
          <w:rFonts w:ascii="Arial" w:eastAsia="Times New Roman" w:hAnsi="Arial" w:cs="Arial"/>
          <w:color w:val="000000"/>
          <w:sz w:val="24"/>
          <w:szCs w:val="24"/>
        </w:rPr>
        <w:t>. O recebimento provisório ou definitivo não excluirá a responsabilidade civil pela solidez e pela segurança dos bens nem a responsabilidade ético-profissional pela perfeita execução do contrato.</w:t>
      </w:r>
      <w:r w:rsidRPr="00B32B0A">
        <w:rPr>
          <w:rFonts w:ascii="Arial" w:eastAsia="Times New Roman" w:hAnsi="Arial" w:cs="Arial"/>
          <w:color w:val="000000"/>
          <w:sz w:val="24"/>
          <w:szCs w:val="24"/>
        </w:rPr>
        <w:br/>
        <w:t>Liquidação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7.9</w:t>
      </w:r>
      <w:r w:rsidRPr="00B32B0A">
        <w:rPr>
          <w:rFonts w:ascii="Arial" w:eastAsia="Times New Roman" w:hAnsi="Arial" w:cs="Arial"/>
          <w:color w:val="000000"/>
          <w:sz w:val="24"/>
          <w:szCs w:val="24"/>
        </w:rPr>
        <w:t>. Recebida a Nota Fiscal ou documento de cobrança equivalente, correrá o prazo de dez dias úteis para fins de liquidação, na forma desta seção, prorrogáveis por igual período, nos termos do art. 7º, §3º da Instrução Normativa SEGES/ME nº 77/2022.</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7.9.1.</w:t>
      </w:r>
      <w:r w:rsidRPr="00B32B0A">
        <w:rPr>
          <w:rFonts w:ascii="Arial" w:eastAsia="Times New Roman" w:hAnsi="Arial" w:cs="Arial"/>
          <w:color w:val="000000"/>
          <w:sz w:val="24"/>
          <w:szCs w:val="24"/>
        </w:rPr>
        <w:t xml:space="preserve"> O prazo de que trata o item anterior será reduzido à metade, mantendo-se a possibilidade de prorrogação, no caso de contratações decorrentes de despesas cujos valores não ultrapassem o limite de que trata o inciso II do art. 75 da Lei nº 14.133, de 2021.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w:t>
      </w:r>
      <w:r w:rsidRPr="00B32B0A">
        <w:rPr>
          <w:rFonts w:ascii="Arial" w:eastAsia="Times New Roman" w:hAnsi="Arial" w:cs="Arial"/>
          <w:color w:val="000000"/>
          <w:sz w:val="24"/>
          <w:szCs w:val="24"/>
        </w:rPr>
        <w:t>. Para fins de liquidação, o setor competente deverá verificar se a nota fiscal ou instrumento de cobrança equivalente apresentado expressa os elementos necessários e essenciais do documento, tais como: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7.10.1</w:t>
      </w:r>
      <w:r w:rsidRPr="00B32B0A">
        <w:rPr>
          <w:rFonts w:ascii="Arial" w:eastAsia="Times New Roman" w:hAnsi="Arial" w:cs="Arial"/>
          <w:color w:val="000000"/>
          <w:sz w:val="24"/>
          <w:szCs w:val="24"/>
        </w:rPr>
        <w:t>. o prazo de validade;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7.10.2</w:t>
      </w:r>
      <w:r w:rsidRPr="00B32B0A">
        <w:rPr>
          <w:rFonts w:ascii="Arial" w:eastAsia="Times New Roman" w:hAnsi="Arial" w:cs="Arial"/>
          <w:color w:val="000000"/>
          <w:sz w:val="24"/>
          <w:szCs w:val="24"/>
        </w:rPr>
        <w:t>. a data da emissão;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7.10.3</w:t>
      </w:r>
      <w:r w:rsidRPr="00B32B0A">
        <w:rPr>
          <w:rFonts w:ascii="Arial" w:eastAsia="Times New Roman" w:hAnsi="Arial" w:cs="Arial"/>
          <w:color w:val="000000"/>
          <w:sz w:val="24"/>
          <w:szCs w:val="24"/>
        </w:rPr>
        <w:t>. os dados do contrato e do órgão contratante;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7.10.4</w:t>
      </w:r>
      <w:r w:rsidRPr="00B32B0A">
        <w:rPr>
          <w:rFonts w:ascii="Arial" w:eastAsia="Times New Roman" w:hAnsi="Arial" w:cs="Arial"/>
          <w:color w:val="000000"/>
          <w:sz w:val="24"/>
          <w:szCs w:val="24"/>
        </w:rPr>
        <w:t>. o período respectivo de execução do contrato;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7.10.5</w:t>
      </w:r>
      <w:r w:rsidRPr="00B32B0A">
        <w:rPr>
          <w:rFonts w:ascii="Arial" w:eastAsia="Times New Roman" w:hAnsi="Arial" w:cs="Arial"/>
          <w:color w:val="000000"/>
          <w:sz w:val="24"/>
          <w:szCs w:val="24"/>
        </w:rPr>
        <w:t>. o valor a pagar; 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7.10.6</w:t>
      </w:r>
      <w:r w:rsidRPr="00B32B0A">
        <w:rPr>
          <w:rFonts w:ascii="Arial" w:eastAsia="Times New Roman" w:hAnsi="Arial" w:cs="Arial"/>
          <w:color w:val="000000"/>
          <w:sz w:val="24"/>
          <w:szCs w:val="24"/>
        </w:rPr>
        <w:t>. eventual destaque do valor de retenções tributárias cabíveis.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7.11.</w:t>
      </w:r>
      <w:r w:rsidRPr="00B32B0A">
        <w:rPr>
          <w:rFonts w:ascii="Arial" w:eastAsia="Times New Roman" w:hAnsi="Arial" w:cs="Arial"/>
          <w:color w:val="000000"/>
          <w:sz w:val="24"/>
          <w:szCs w:val="24"/>
        </w:rPr>
        <w:t xml:space="preserve">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7.12</w:t>
      </w:r>
      <w:r w:rsidRPr="00B32B0A">
        <w:rPr>
          <w:rFonts w:ascii="Arial" w:eastAsia="Times New Roman" w:hAnsi="Arial" w:cs="Arial"/>
          <w:color w:val="000000"/>
          <w:sz w:val="24"/>
          <w:szCs w:val="24"/>
        </w:rPr>
        <w:t>.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7.13.</w:t>
      </w:r>
      <w:r w:rsidRPr="00B32B0A">
        <w:rPr>
          <w:rFonts w:ascii="Arial" w:eastAsia="Times New Roman" w:hAnsi="Arial" w:cs="Arial"/>
          <w:color w:val="000000"/>
          <w:sz w:val="24"/>
          <w:szCs w:val="24"/>
        </w:rPr>
        <w:t xml:space="preserve"> 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 (INSTRUÇÃO NORMATIVA Nº 3, DE 26 DE ABRIL DE 2018).</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7.14.</w:t>
      </w:r>
      <w:r w:rsidRPr="00B32B0A">
        <w:rPr>
          <w:rFonts w:ascii="Arial" w:eastAsia="Times New Roman" w:hAnsi="Arial" w:cs="Arial"/>
          <w:color w:val="000000"/>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7.15</w:t>
      </w:r>
      <w:r w:rsidRPr="00B32B0A">
        <w:rPr>
          <w:rFonts w:ascii="Arial" w:eastAsia="Times New Roman" w:hAnsi="Arial" w:cs="Arial"/>
          <w:color w:val="000000"/>
          <w:sz w:val="24"/>
          <w:szCs w:val="24"/>
        </w:rPr>
        <w:t>.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lastRenderedPageBreak/>
        <w:t>7.16</w:t>
      </w:r>
      <w:r w:rsidRPr="00B32B0A">
        <w:rPr>
          <w:rFonts w:ascii="Arial" w:eastAsia="Times New Roman" w:hAnsi="Arial" w:cs="Arial"/>
          <w:color w:val="000000"/>
          <w:sz w:val="24"/>
          <w:szCs w:val="24"/>
        </w:rPr>
        <w:t>. Persistindo a irregularidade, o contratante deverá adotar as medidas necessárias à rescisão contratual nos autos do processo administrativo correspondente, assegurada ao contratado a ampla defesa.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7.17.</w:t>
      </w:r>
      <w:r w:rsidRPr="00B32B0A">
        <w:rPr>
          <w:rFonts w:ascii="Arial" w:eastAsia="Times New Roman" w:hAnsi="Arial" w:cs="Arial"/>
          <w:color w:val="000000"/>
          <w:sz w:val="24"/>
          <w:szCs w:val="24"/>
        </w:rPr>
        <w:t xml:space="preserve"> Havendo a efetiva execução do objeto, os pagamentos serão realizados normalmente, até que se decida pela rescisão do contrato, caso o contratado não regularize sua situação junto ao SICAF.</w:t>
      </w:r>
      <w:r w:rsidRPr="00B32B0A">
        <w:rPr>
          <w:rFonts w:ascii="Arial" w:eastAsia="Times New Roman" w:hAnsi="Arial" w:cs="Arial"/>
          <w:color w:val="000000"/>
          <w:sz w:val="24"/>
          <w:szCs w:val="24"/>
        </w:rPr>
        <w:br/>
        <w:t>Prazo de pagamento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7.18</w:t>
      </w:r>
      <w:r w:rsidRPr="00B32B0A">
        <w:rPr>
          <w:rFonts w:ascii="Arial" w:eastAsia="Times New Roman" w:hAnsi="Arial" w:cs="Arial"/>
          <w:color w:val="000000"/>
          <w:sz w:val="24"/>
          <w:szCs w:val="24"/>
        </w:rPr>
        <w:t>. O pagamento será efetuado no prazo de até 10 (dez) dias úteis contados da finalização da liquidação da despesa, conforme seção anterior, nos termos da Instrução Normativa SEGES/ME nº 77, de 2022.</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7.19</w:t>
      </w:r>
      <w:r w:rsidRPr="00B32B0A">
        <w:rPr>
          <w:rFonts w:ascii="Arial" w:eastAsia="Times New Roman" w:hAnsi="Arial" w:cs="Arial"/>
          <w:color w:val="000000"/>
          <w:sz w:val="24"/>
          <w:szCs w:val="24"/>
        </w:rPr>
        <w:t>. No caso de atraso pelo Contratante, os valores devidos ao contratado serão atualizados monetariamente entre o termo final do prazo de pagamento até a data de sua efetiva realização, mediante aplicação do índice XXXX de correção monetária.</w:t>
      </w:r>
      <w:r w:rsidRPr="00B32B0A">
        <w:rPr>
          <w:rFonts w:ascii="Arial" w:eastAsia="Times New Roman" w:hAnsi="Arial" w:cs="Arial"/>
          <w:color w:val="000000"/>
          <w:sz w:val="24"/>
          <w:szCs w:val="24"/>
        </w:rPr>
        <w:br/>
        <w:t>Forma de pagamento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7.20</w:t>
      </w:r>
      <w:r w:rsidRPr="00B32B0A">
        <w:rPr>
          <w:rFonts w:ascii="Arial" w:eastAsia="Times New Roman" w:hAnsi="Arial" w:cs="Arial"/>
          <w:color w:val="000000"/>
          <w:sz w:val="24"/>
          <w:szCs w:val="24"/>
        </w:rPr>
        <w:t>. O pagamento será realizado por meio de ordem bancária, para crédito em banco, agência e conta corrente indicados pelo contratado.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7.21</w:t>
      </w:r>
      <w:r w:rsidRPr="00B32B0A">
        <w:rPr>
          <w:rFonts w:ascii="Arial" w:eastAsia="Times New Roman" w:hAnsi="Arial" w:cs="Arial"/>
          <w:color w:val="000000"/>
          <w:sz w:val="24"/>
          <w:szCs w:val="24"/>
        </w:rPr>
        <w:t>. Será considerada data do pagamento o dia em que constar como emitida a ordem bancária para pagamento.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7.22</w:t>
      </w:r>
      <w:r w:rsidRPr="00B32B0A">
        <w:rPr>
          <w:rFonts w:ascii="Arial" w:eastAsia="Times New Roman" w:hAnsi="Arial" w:cs="Arial"/>
          <w:color w:val="000000"/>
          <w:sz w:val="24"/>
          <w:szCs w:val="24"/>
        </w:rPr>
        <w:t>. Quando do pagamento, será efetuada a retenção tributária prevista na legislação aplicável.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7.22.1</w:t>
      </w:r>
      <w:r w:rsidRPr="00B32B0A">
        <w:rPr>
          <w:rFonts w:ascii="Arial" w:eastAsia="Times New Roman" w:hAnsi="Arial" w:cs="Arial"/>
          <w:color w:val="000000"/>
          <w:sz w:val="24"/>
          <w:szCs w:val="24"/>
        </w:rPr>
        <w:t>. Independentemente do percentual de tributo inserido na planilha, quando houver, serão retidos na fonte, quando da realização do pagamento, os percentuais estabelecidos na legislação vigente.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7.23</w:t>
      </w:r>
      <w:r w:rsidRPr="00B32B0A">
        <w:rPr>
          <w:rFonts w:ascii="Arial" w:eastAsia="Times New Roman" w:hAnsi="Arial" w:cs="Arial"/>
          <w:color w:val="000000"/>
          <w:sz w:val="24"/>
          <w:szCs w:val="24"/>
        </w:rPr>
        <w:t>.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r w:rsidRPr="00B32B0A">
        <w:rPr>
          <w:rFonts w:ascii="Arial" w:eastAsia="Times New Roman" w:hAnsi="Arial" w:cs="Arial"/>
          <w:color w:val="000000"/>
          <w:sz w:val="24"/>
          <w:szCs w:val="24"/>
        </w:rPr>
        <w:br/>
      </w:r>
    </w:p>
    <w:p w14:paraId="6A05A82C" w14:textId="77777777" w:rsidR="00B32B0A" w:rsidRPr="00B32B0A" w:rsidRDefault="00B32B0A" w:rsidP="00B32B0A">
      <w:pPr>
        <w:spacing w:before="100" w:beforeAutospacing="1" w:after="100" w:afterAutospacing="1" w:line="240" w:lineRule="auto"/>
        <w:jc w:val="both"/>
        <w:rPr>
          <w:rFonts w:ascii="Arial" w:eastAsia="Times New Roman" w:hAnsi="Arial" w:cs="Arial"/>
          <w:b/>
          <w:bCs/>
          <w:color w:val="000000"/>
          <w:sz w:val="24"/>
          <w:szCs w:val="24"/>
        </w:rPr>
      </w:pPr>
      <w:r w:rsidRPr="00B32B0A">
        <w:rPr>
          <w:rFonts w:ascii="Arial" w:eastAsia="Times New Roman" w:hAnsi="Arial" w:cs="Arial"/>
          <w:b/>
          <w:bCs/>
          <w:color w:val="000000"/>
          <w:sz w:val="24"/>
          <w:szCs w:val="24"/>
        </w:rPr>
        <w:t>8. DA FORMA E CRITÉRIOS DE SELEÇÃO DO FORNECEDOR</w:t>
      </w:r>
    </w:p>
    <w:p w14:paraId="76118FD9"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8.1</w:t>
      </w:r>
      <w:r w:rsidRPr="00B32B0A">
        <w:rPr>
          <w:rFonts w:ascii="Arial" w:eastAsia="Times New Roman" w:hAnsi="Arial" w:cs="Arial"/>
          <w:color w:val="000000"/>
          <w:sz w:val="24"/>
          <w:szCs w:val="24"/>
        </w:rPr>
        <w:t>. O fornecedor será selecionado por meio da realização de procedimento de LICITAÇÃO, na modalidade PREGÃO, sob a forma ELETRÔNICA, com adoção do critério de julgamento pelo [MENOR PREÇO] OU [MAIOR DESCONTO].</w:t>
      </w:r>
      <w:r w:rsidRPr="00B32B0A">
        <w:rPr>
          <w:rFonts w:ascii="Arial" w:eastAsia="Times New Roman" w:hAnsi="Arial" w:cs="Arial"/>
          <w:color w:val="000000"/>
          <w:sz w:val="24"/>
          <w:szCs w:val="24"/>
        </w:rPr>
        <w:br/>
        <w:t>Forma de fornecimento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w:t>
      </w:r>
      <w:r w:rsidRPr="00B32B0A">
        <w:rPr>
          <w:rFonts w:ascii="Arial" w:eastAsia="Times New Roman" w:hAnsi="Arial" w:cs="Arial"/>
          <w:color w:val="000000"/>
          <w:sz w:val="24"/>
          <w:szCs w:val="24"/>
        </w:rPr>
        <w:t>. O fornecimento do objeto será [integral/parcelado/continuado].</w:t>
      </w:r>
      <w:r w:rsidRPr="00B32B0A">
        <w:rPr>
          <w:rFonts w:ascii="Arial" w:eastAsia="Times New Roman" w:hAnsi="Arial" w:cs="Arial"/>
          <w:color w:val="000000"/>
          <w:sz w:val="24"/>
          <w:szCs w:val="24"/>
        </w:rPr>
        <w:br/>
        <w:t>Exigências de habilitação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w:t>
      </w:r>
      <w:r w:rsidRPr="00B32B0A">
        <w:rPr>
          <w:rFonts w:ascii="Arial" w:eastAsia="Times New Roman" w:hAnsi="Arial" w:cs="Arial"/>
          <w:color w:val="000000"/>
          <w:sz w:val="24"/>
          <w:szCs w:val="24"/>
        </w:rPr>
        <w:t>. Para fins de habilitação, deverá o licitante comprovar os seguintes requisitos:</w:t>
      </w:r>
      <w:r w:rsidRPr="00B32B0A">
        <w:rPr>
          <w:rFonts w:ascii="Arial" w:eastAsia="Times New Roman" w:hAnsi="Arial" w:cs="Arial"/>
          <w:color w:val="000000"/>
          <w:sz w:val="24"/>
          <w:szCs w:val="24"/>
        </w:rPr>
        <w:br/>
        <w:t>Habilitação jurídica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8.4</w:t>
      </w:r>
      <w:r w:rsidRPr="00B32B0A">
        <w:rPr>
          <w:rFonts w:ascii="Arial" w:eastAsia="Times New Roman" w:hAnsi="Arial" w:cs="Arial"/>
          <w:color w:val="000000"/>
          <w:sz w:val="24"/>
          <w:szCs w:val="24"/>
        </w:rPr>
        <w:t>. Pessoa física: cédula de identidade (RG) ou documento equivalente que, por força de lei, tenha validade para fins de identificação em todo o território nacional;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8.5</w:t>
      </w:r>
      <w:r w:rsidRPr="00B32B0A">
        <w:rPr>
          <w:rFonts w:ascii="Arial" w:eastAsia="Times New Roman" w:hAnsi="Arial" w:cs="Arial"/>
          <w:color w:val="000000"/>
          <w:sz w:val="24"/>
          <w:szCs w:val="24"/>
        </w:rPr>
        <w:t>. Empresário individual: inscrição no Registro Público de Empresas Mercantis, a cargo da Junta Comercial da respectiva sede;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8.6.</w:t>
      </w:r>
      <w:r w:rsidRPr="00B32B0A">
        <w:rPr>
          <w:rFonts w:ascii="Arial" w:eastAsia="Times New Roman" w:hAnsi="Arial" w:cs="Arial"/>
          <w:color w:val="000000"/>
          <w:sz w:val="24"/>
          <w:szCs w:val="24"/>
        </w:rPr>
        <w:t xml:space="preserve"> Microempreendedor Individual - MEI: Certificado da Condição de Microempreendedor Individual - CCMEI, cuja aceitação ficará condicionada à verificação da autenticidade no sítio https://www.gov.br/empresas-e-negocios/pt-br/empreendedor;</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lastRenderedPageBreak/>
        <w:t>8.7</w:t>
      </w:r>
      <w:r w:rsidRPr="00B32B0A">
        <w:rPr>
          <w:rFonts w:ascii="Arial" w:eastAsia="Times New Roman" w:hAnsi="Arial" w:cs="Arial"/>
          <w:color w:val="000000"/>
          <w:sz w:val="24"/>
          <w:szCs w:val="24"/>
        </w:rPr>
        <w:t>.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8.8</w:t>
      </w:r>
      <w:r w:rsidRPr="00B32B0A">
        <w:rPr>
          <w:rFonts w:ascii="Arial" w:eastAsia="Times New Roman" w:hAnsi="Arial" w:cs="Arial"/>
          <w:color w:val="000000"/>
          <w:sz w:val="24"/>
          <w:szCs w:val="24"/>
        </w:rPr>
        <w:t>.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8.9</w:t>
      </w:r>
      <w:r w:rsidRPr="00B32B0A">
        <w:rPr>
          <w:rFonts w:ascii="Arial" w:eastAsia="Times New Roman" w:hAnsi="Arial" w:cs="Arial"/>
          <w:color w:val="000000"/>
          <w:sz w:val="24"/>
          <w:szCs w:val="24"/>
        </w:rPr>
        <w:t>. Sociedade simples: inscrição do ato constitutivo no Registro Civil de Pessoas Jurídicas do local de sua sede, acompanhada de documento comprobatório de seus administradores;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8.10</w:t>
      </w:r>
      <w:r w:rsidRPr="00B32B0A">
        <w:rPr>
          <w:rFonts w:ascii="Arial" w:eastAsia="Times New Roman" w:hAnsi="Arial" w:cs="Arial"/>
          <w:color w:val="000000"/>
          <w:sz w:val="24"/>
          <w:szCs w:val="24"/>
        </w:rPr>
        <w:t>.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8.11</w:t>
      </w:r>
      <w:r w:rsidRPr="00B32B0A">
        <w:rPr>
          <w:rFonts w:ascii="Arial" w:eastAsia="Times New Roman" w:hAnsi="Arial" w:cs="Arial"/>
          <w:color w:val="000000"/>
          <w:sz w:val="24"/>
          <w:szCs w:val="24"/>
        </w:rPr>
        <w:t>.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8.12</w:t>
      </w:r>
      <w:r w:rsidRPr="00B32B0A">
        <w:rPr>
          <w:rFonts w:ascii="Arial" w:eastAsia="Times New Roman" w:hAnsi="Arial" w:cs="Arial"/>
          <w:color w:val="000000"/>
          <w:sz w:val="24"/>
          <w:szCs w:val="24"/>
        </w:rPr>
        <w:t>. Agricultor familiar: Declaração de Aptidão ao Pronaf – DAP ou DAP-P válida, ou, ainda, outros documentos definidos pela Secretaria Especial de Agricultura Familiar e do Desenvolvimento Agrário, nos termos do art. 4º, §2º do Decreto n.º 10.880, de 2 de dezembro de 2021.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8.13</w:t>
      </w:r>
      <w:r w:rsidRPr="00B32B0A">
        <w:rPr>
          <w:rFonts w:ascii="Arial" w:eastAsia="Times New Roman" w:hAnsi="Arial" w:cs="Arial"/>
          <w:color w:val="000000"/>
          <w:sz w:val="24"/>
          <w:szCs w:val="24"/>
        </w:rPr>
        <w:t>. Produtor Rural: matrícula no Cadastro Específico do INSS – CEI, que comprove a qualificação como produtor rural pessoa física, nos termos da Instrução Normativa RFB n.º 971, de 13 de novembro de 2009 (arts. 17 a 19 e 165).</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8.14</w:t>
      </w:r>
      <w:r w:rsidRPr="00B32B0A">
        <w:rPr>
          <w:rFonts w:ascii="Arial" w:eastAsia="Times New Roman" w:hAnsi="Arial" w:cs="Arial"/>
          <w:color w:val="000000"/>
          <w:sz w:val="24"/>
          <w:szCs w:val="24"/>
        </w:rPr>
        <w:t>.. Os documentos apresentados deverão estar acompanhados de todas as alterações ou da consolidação respectiva.</w:t>
      </w:r>
      <w:r w:rsidRPr="00B32B0A">
        <w:rPr>
          <w:rFonts w:ascii="Arial" w:eastAsia="Times New Roman" w:hAnsi="Arial" w:cs="Arial"/>
          <w:color w:val="000000"/>
          <w:sz w:val="24"/>
          <w:szCs w:val="24"/>
        </w:rPr>
        <w:br/>
        <w:t>Habilitação fiscal, social e trabalhista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8.15</w:t>
      </w:r>
      <w:r w:rsidRPr="00B32B0A">
        <w:rPr>
          <w:rFonts w:ascii="Arial" w:eastAsia="Times New Roman" w:hAnsi="Arial" w:cs="Arial"/>
          <w:color w:val="000000"/>
          <w:sz w:val="24"/>
          <w:szCs w:val="24"/>
        </w:rPr>
        <w:t>. Prova de inscrição no Cadastro Nacional de Pessoas Jurídicas ou no Cadastro de Pessoas Físicas, conforme o caso;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8.16</w:t>
      </w:r>
      <w:r w:rsidRPr="00B32B0A">
        <w:rPr>
          <w:rFonts w:ascii="Arial" w:eastAsia="Times New Roman" w:hAnsi="Arial" w:cs="Arial"/>
          <w:color w:val="000000"/>
          <w:sz w:val="24"/>
          <w:szCs w:val="24"/>
        </w:rPr>
        <w:t>.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8.17.</w:t>
      </w:r>
      <w:r w:rsidRPr="00B32B0A">
        <w:rPr>
          <w:rFonts w:ascii="Arial" w:eastAsia="Times New Roman" w:hAnsi="Arial" w:cs="Arial"/>
          <w:color w:val="000000"/>
          <w:sz w:val="24"/>
          <w:szCs w:val="24"/>
        </w:rPr>
        <w:t xml:space="preserve"> Prova de regularidade com o Fundo de Garantia do Tempo de Serviço (FGTS);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8.18</w:t>
      </w:r>
      <w:r w:rsidRPr="00B32B0A">
        <w:rPr>
          <w:rFonts w:ascii="Arial" w:eastAsia="Times New Roman" w:hAnsi="Arial" w:cs="Arial"/>
          <w:color w:val="000000"/>
          <w:sz w:val="24"/>
          <w:szCs w:val="24"/>
        </w:rPr>
        <w:t>.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8.19</w:t>
      </w:r>
      <w:r w:rsidRPr="00B32B0A">
        <w:rPr>
          <w:rFonts w:ascii="Arial" w:eastAsia="Times New Roman" w:hAnsi="Arial" w:cs="Arial"/>
          <w:color w:val="000000"/>
          <w:sz w:val="24"/>
          <w:szCs w:val="24"/>
        </w:rPr>
        <w:t>. Prova de inscrição no cadastro de contribuintes [Estadual/Distrital] ou [Municipal/Distrital] relativo ao domicílio ou sede do fornecedor, pertinente ao seu ramo de atividade e compatível com o objeto contratual;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lastRenderedPageBreak/>
        <w:t>8.20</w:t>
      </w:r>
      <w:r w:rsidRPr="00B32B0A">
        <w:rPr>
          <w:rFonts w:ascii="Arial" w:eastAsia="Times New Roman" w:hAnsi="Arial" w:cs="Arial"/>
          <w:color w:val="000000"/>
          <w:sz w:val="24"/>
          <w:szCs w:val="24"/>
        </w:rPr>
        <w:t>. Prova de regularidade com a Fazenda [Estadual/Distrital] ou [Municipal/Distrital] do domicílio ou sede do fornecedor, relativa à atividade em cujo exercício contrata ou concorre;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8.21</w:t>
      </w:r>
      <w:r w:rsidRPr="00B32B0A">
        <w:rPr>
          <w:rFonts w:ascii="Arial" w:eastAsia="Times New Roman" w:hAnsi="Arial" w:cs="Arial"/>
          <w:color w:val="000000"/>
          <w:sz w:val="24"/>
          <w:szCs w:val="24"/>
        </w:rPr>
        <w:t>.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8.22</w:t>
      </w:r>
      <w:r w:rsidRPr="00B32B0A">
        <w:rPr>
          <w:rFonts w:ascii="Arial" w:eastAsia="Times New Roman" w:hAnsi="Arial" w:cs="Arial"/>
          <w:color w:val="000000"/>
          <w:sz w:val="24"/>
          <w:szCs w:val="24"/>
        </w:rPr>
        <w:t>. O fornecedor enquadrado como microempreendedor individual que pretenda auferir os benefícios do tratamento diferenciado previstos na Lei Complementar n.º 123, de 2006, estará dispensado da prova de inscrição nos cadastros de contribuintes estadual e municipal.</w:t>
      </w:r>
      <w:r w:rsidRPr="00B32B0A">
        <w:rPr>
          <w:rFonts w:ascii="Arial" w:eastAsia="Times New Roman" w:hAnsi="Arial" w:cs="Arial"/>
          <w:color w:val="000000"/>
          <w:sz w:val="24"/>
          <w:szCs w:val="24"/>
        </w:rPr>
        <w:br/>
        <w:t>Qualificação Econômico-Financeira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8.23</w:t>
      </w:r>
      <w:r w:rsidRPr="00B32B0A">
        <w:rPr>
          <w:rFonts w:ascii="Arial" w:eastAsia="Times New Roman" w:hAnsi="Arial" w:cs="Arial"/>
          <w:color w:val="000000"/>
          <w:sz w:val="24"/>
          <w:szCs w:val="24"/>
        </w:rPr>
        <w:t>. Certidão negativa de insolvência civil expedida pelo distribuidor do domicílio ou sede do licitante, caso se trate de pessoa física, desde que admitida a sua participação na licitação (art. 5º, inciso II, alínea “c”, da Instrução Normativa Seges/ME n.º 116, de 2021), ou de sociedade simples;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8.24</w:t>
      </w:r>
      <w:r w:rsidRPr="00B32B0A">
        <w:rPr>
          <w:rFonts w:ascii="Arial" w:eastAsia="Times New Roman" w:hAnsi="Arial" w:cs="Arial"/>
          <w:color w:val="000000"/>
          <w:sz w:val="24"/>
          <w:szCs w:val="24"/>
        </w:rPr>
        <w:t>. Certidão negativa de falência expedida pelo distribuidor da sede do fornecedor - Lei n.º 14.133, de 2021, art. 69, caput, inciso II);</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8.25</w:t>
      </w:r>
      <w:r w:rsidRPr="00B32B0A">
        <w:rPr>
          <w:rFonts w:ascii="Arial" w:eastAsia="Times New Roman" w:hAnsi="Arial" w:cs="Arial"/>
          <w:color w:val="000000"/>
          <w:sz w:val="24"/>
          <w:szCs w:val="24"/>
        </w:rPr>
        <w:t>. Balanço patrimonial, demonstração de resultado de exercício e demais demonstrações contábeis dos 2 (dois) últimos exercícios sociais, comprovando;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8.26.1</w:t>
      </w:r>
      <w:r w:rsidRPr="00B32B0A">
        <w:rPr>
          <w:rFonts w:ascii="Arial" w:eastAsia="Times New Roman" w:hAnsi="Arial" w:cs="Arial"/>
          <w:color w:val="000000"/>
          <w:sz w:val="24"/>
          <w:szCs w:val="24"/>
        </w:rPr>
        <w:t>. índices de Liquidez Geral (LG), Liquidez Corrente (LC), e Solvência Geral (SG) superiores a 1 (um);</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8.26.2</w:t>
      </w:r>
      <w:r w:rsidRPr="00B32B0A">
        <w:rPr>
          <w:rFonts w:ascii="Arial" w:eastAsia="Times New Roman" w:hAnsi="Arial" w:cs="Arial"/>
          <w:color w:val="000000"/>
          <w:sz w:val="24"/>
          <w:szCs w:val="24"/>
        </w:rPr>
        <w:t>. As empresas criadas no exercício financeiro da licitação deverão atender a todas as exigências da habilitação e poderão substituir os demonstrativos contábeis pelo balanço de abertura.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8.27.3</w:t>
      </w:r>
      <w:r w:rsidRPr="00B32B0A">
        <w:rPr>
          <w:rFonts w:ascii="Arial" w:eastAsia="Times New Roman" w:hAnsi="Arial" w:cs="Arial"/>
          <w:color w:val="000000"/>
          <w:sz w:val="24"/>
          <w:szCs w:val="24"/>
        </w:rPr>
        <w:t>. Os documentos referidos acima limitar-se-ão ao último exercício no caso de a pessoa jurídica ter sido constituída há menos de 2 (dois) anos;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8.28.4</w:t>
      </w:r>
      <w:r w:rsidRPr="00B32B0A">
        <w:rPr>
          <w:rFonts w:ascii="Arial" w:eastAsia="Times New Roman" w:hAnsi="Arial" w:cs="Arial"/>
          <w:color w:val="000000"/>
          <w:sz w:val="24"/>
          <w:szCs w:val="24"/>
        </w:rPr>
        <w:t>. Os documentos referidos acima deverão ser exigidos com base no limite definido pela Receita Federal do Brasil para transmissão da Escrituração Contábil Digital - ECD ao Sped.</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8.29</w:t>
      </w:r>
      <w:r w:rsidRPr="00B32B0A">
        <w:rPr>
          <w:rFonts w:ascii="Arial" w:eastAsia="Times New Roman" w:hAnsi="Arial" w:cs="Arial"/>
          <w:color w:val="000000"/>
          <w:sz w:val="24"/>
          <w:szCs w:val="24"/>
        </w:rPr>
        <w:t>. Caso a empresa licitante apresente resultado inferior ou igual a 1 (um) em qualquer dos índices de Liquidez Geral (LG), Solvência Geral (SG) e Liquidez Corrente (LC), será exigido para fins de habilitação [capital mínimo] OU [patrimônio líquido mínimo] de ......% [até 10%] do [valor total estimado da contratação] OU [valor total estimado da parcela pertinente].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8.30.</w:t>
      </w:r>
      <w:r w:rsidRPr="00B32B0A">
        <w:rPr>
          <w:rFonts w:ascii="Arial" w:eastAsia="Times New Roman" w:hAnsi="Arial" w:cs="Arial"/>
          <w:color w:val="000000"/>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8.31</w:t>
      </w:r>
      <w:r w:rsidRPr="00B32B0A">
        <w:rPr>
          <w:rFonts w:ascii="Arial" w:eastAsia="Times New Roman" w:hAnsi="Arial" w:cs="Arial"/>
          <w:color w:val="000000"/>
          <w:sz w:val="24"/>
          <w:szCs w:val="24"/>
        </w:rPr>
        <w:t>. O atendimento dos índices econômicos previstos neste item deverá ser atestado mediante declaração assinada por profissional habilitado da área contábil, apresentada pelo fornecedor.</w:t>
      </w:r>
      <w:r w:rsidRPr="00B32B0A">
        <w:rPr>
          <w:rFonts w:ascii="Arial" w:eastAsia="Times New Roman" w:hAnsi="Arial" w:cs="Arial"/>
          <w:color w:val="000000"/>
          <w:sz w:val="24"/>
          <w:szCs w:val="24"/>
        </w:rPr>
        <w:br/>
        <w:t>Qualificação Técnica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8.32</w:t>
      </w:r>
      <w:r w:rsidRPr="00B32B0A">
        <w:rPr>
          <w:rFonts w:ascii="Arial" w:eastAsia="Times New Roman" w:hAnsi="Arial" w:cs="Arial"/>
          <w:color w:val="000000"/>
          <w:sz w:val="24"/>
          <w:szCs w:val="24"/>
        </w:rPr>
        <w:t>. Registro ou inscrição da empresa na entidade profissional, em plena validade;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 xml:space="preserve">8.33. </w:t>
      </w:r>
      <w:r w:rsidRPr="00B32B0A">
        <w:rPr>
          <w:rFonts w:ascii="Arial" w:eastAsia="Times New Roman" w:hAnsi="Arial" w:cs="Arial"/>
          <w:color w:val="000000"/>
          <w:sz w:val="24"/>
          <w:szCs w:val="24"/>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lastRenderedPageBreak/>
        <w:t>8.33.1</w:t>
      </w:r>
      <w:r w:rsidRPr="00B32B0A">
        <w:rPr>
          <w:rFonts w:ascii="Arial" w:eastAsia="Times New Roman" w:hAnsi="Arial" w:cs="Arial"/>
          <w:color w:val="000000"/>
          <w:sz w:val="24"/>
          <w:szCs w:val="24"/>
        </w:rPr>
        <w:t>. Para fins da comprovação de que trata este subitem, os atestados deverão dizer respeito a contratos executados com as seguintes características mínimas;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8.33.2</w:t>
      </w:r>
      <w:r w:rsidRPr="00B32B0A">
        <w:rPr>
          <w:rFonts w:ascii="Arial" w:eastAsia="Times New Roman" w:hAnsi="Arial" w:cs="Arial"/>
          <w:color w:val="000000"/>
          <w:sz w:val="24"/>
          <w:szCs w:val="24"/>
        </w:rPr>
        <w:t>. Será admitida, para fins de comprovação de quantitativo mínimo, a apresentação e o somatório de diferentes atestados executados de forma concomitante.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8.33.3.</w:t>
      </w:r>
      <w:r w:rsidRPr="00B32B0A">
        <w:rPr>
          <w:rFonts w:ascii="Arial" w:eastAsia="Times New Roman" w:hAnsi="Arial" w:cs="Arial"/>
          <w:color w:val="000000"/>
          <w:sz w:val="24"/>
          <w:szCs w:val="24"/>
        </w:rPr>
        <w:t xml:space="preserve"> Os atestados de capacidade técnica poderão ser apresentados em nome da matriz ou da filial do fornecedor.</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 xml:space="preserve">8.33.4. </w:t>
      </w:r>
      <w:r w:rsidRPr="00B32B0A">
        <w:rPr>
          <w:rFonts w:ascii="Arial" w:eastAsia="Times New Roman" w:hAnsi="Arial" w:cs="Arial"/>
          <w:color w:val="000000"/>
          <w:sz w:val="24"/>
          <w:szCs w:val="24"/>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8.33.5.</w:t>
      </w:r>
      <w:r w:rsidRPr="00B32B0A">
        <w:rPr>
          <w:rFonts w:ascii="Arial" w:eastAsia="Times New Roman" w:hAnsi="Arial" w:cs="Arial"/>
          <w:color w:val="000000"/>
          <w:sz w:val="24"/>
          <w:szCs w:val="24"/>
        </w:rPr>
        <w:t>. Caso admitida a participação de cooperativas, será exigida a seguinte documentação complementar:</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8.33.6.</w:t>
      </w:r>
      <w:r w:rsidRPr="00B32B0A">
        <w:rPr>
          <w:rFonts w:ascii="Arial" w:eastAsia="Times New Roman" w:hAnsi="Arial" w:cs="Arial"/>
          <w:color w:val="000000"/>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arts. 4º, inciso XI, 21, inciso I e 42, §§2º a 6º da Lei n. 5.764, de 1971;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8.33.7.</w:t>
      </w:r>
      <w:r w:rsidRPr="00B32B0A">
        <w:rPr>
          <w:rFonts w:ascii="Arial" w:eastAsia="Times New Roman" w:hAnsi="Arial" w:cs="Arial"/>
          <w:color w:val="000000"/>
          <w:sz w:val="24"/>
          <w:szCs w:val="24"/>
        </w:rPr>
        <w:t xml:space="preserve"> A declaração de regularidade de situação do contribuinte individual – DRSCI, para cada um dos cooperados indicados;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8.33.8</w:t>
      </w:r>
      <w:r w:rsidRPr="00B32B0A">
        <w:rPr>
          <w:rFonts w:ascii="Arial" w:eastAsia="Times New Roman" w:hAnsi="Arial" w:cs="Arial"/>
          <w:color w:val="000000"/>
          <w:sz w:val="24"/>
          <w:szCs w:val="24"/>
        </w:rPr>
        <w:t xml:space="preserve"> A comprovação do capital social proporcional ao número de cooperados necessários à execução contratual;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8.33.9</w:t>
      </w:r>
      <w:r w:rsidRPr="00B32B0A">
        <w:rPr>
          <w:rFonts w:ascii="Arial" w:eastAsia="Times New Roman" w:hAnsi="Arial" w:cs="Arial"/>
          <w:color w:val="000000"/>
          <w:sz w:val="24"/>
          <w:szCs w:val="24"/>
        </w:rPr>
        <w:t>.O registro previsto na Lei n. 5.764, de 1971, art. 107;</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8.33.10</w:t>
      </w:r>
      <w:r w:rsidRPr="00B32B0A">
        <w:rPr>
          <w:rFonts w:ascii="Arial" w:eastAsia="Times New Roman" w:hAnsi="Arial" w:cs="Arial"/>
          <w:color w:val="000000"/>
          <w:sz w:val="24"/>
          <w:szCs w:val="24"/>
        </w:rPr>
        <w:t xml:space="preserve"> A comprovação de integração das respectivas quotas-partes por parte dos cooperados que executarão o contrato; 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8.33.11</w:t>
      </w:r>
      <w:r w:rsidRPr="00B32B0A">
        <w:rPr>
          <w:rFonts w:ascii="Arial" w:eastAsia="Times New Roman" w:hAnsi="Arial" w:cs="Arial"/>
          <w:color w:val="000000"/>
          <w:sz w:val="24"/>
          <w:szCs w:val="24"/>
        </w:rPr>
        <w:t>.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8.33.12.</w:t>
      </w:r>
      <w:r w:rsidRPr="00B32B0A">
        <w:rPr>
          <w:rFonts w:ascii="Arial" w:eastAsia="Times New Roman" w:hAnsi="Arial" w:cs="Arial"/>
          <w:color w:val="000000"/>
          <w:sz w:val="24"/>
          <w:szCs w:val="24"/>
        </w:rPr>
        <w:t xml:space="preserve"> A última auditoria contábil-financeira da cooperativa, conforme dispõe o art. 112 da Lei n. 5.764, de 1971, ou uma declaração, sob as penas da lei, de que tal auditoria não foi exigida pelo órgão fiscalizador.</w:t>
      </w:r>
    </w:p>
    <w:p w14:paraId="1AC87F4E"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9. DAS ESTIMATIVAS DO VALOR DA CONTRATAÇÃO</w:t>
      </w:r>
    </w:p>
    <w:p w14:paraId="18C89666"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9.1.</w:t>
      </w:r>
      <w:r w:rsidRPr="00B32B0A">
        <w:rPr>
          <w:rFonts w:ascii="Arial" w:eastAsia="Times New Roman" w:hAnsi="Arial" w:cs="Arial"/>
          <w:color w:val="000000"/>
          <w:sz w:val="24"/>
          <w:szCs w:val="24"/>
        </w:rPr>
        <w:t xml:space="preserve"> O custo estimado total da contratação é de R$ 6.700,00 (seis mil e setecentos reais), conforme custos unitários apostos na em anexo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9.2.</w:t>
      </w:r>
      <w:r w:rsidRPr="00B32B0A">
        <w:rPr>
          <w:rFonts w:ascii="Arial" w:eastAsia="Times New Roman" w:hAnsi="Arial" w:cs="Arial"/>
          <w:color w:val="000000"/>
          <w:sz w:val="24"/>
          <w:szCs w:val="24"/>
        </w:rPr>
        <w:t xml:space="preserve"> O custo estimado da contratação possui caráter sigiloso e será tornado público apenas e imediatamente após o julgamento das propostas.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9.3</w:t>
      </w:r>
      <w:r w:rsidRPr="00B32B0A">
        <w:rPr>
          <w:rFonts w:ascii="Arial" w:eastAsia="Times New Roman" w:hAnsi="Arial" w:cs="Arial"/>
          <w:color w:val="000000"/>
          <w:sz w:val="24"/>
          <w:szCs w:val="24"/>
        </w:rPr>
        <w:t>. A estimativa de custo levou em consideração o risco envolvido na contratação e sua alocação entre contratante e contratado, conforme especificado na matriz de risco constante do Contrato.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9.4.</w:t>
      </w:r>
      <w:r w:rsidRPr="00B32B0A">
        <w:rPr>
          <w:rFonts w:ascii="Arial" w:eastAsia="Times New Roman" w:hAnsi="Arial" w:cs="Arial"/>
          <w:color w:val="000000"/>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w:t>
      </w:r>
      <w:r w:rsidRPr="00B32B0A">
        <w:rPr>
          <w:rFonts w:ascii="Arial" w:eastAsia="Times New Roman" w:hAnsi="Arial" w:cs="Arial"/>
          <w:color w:val="000000"/>
          <w:sz w:val="24"/>
          <w:szCs w:val="24"/>
        </w:rPr>
        <w:lastRenderedPageBreak/>
        <w:t>registrados, nas seguintes situações (art. 25 do Decreto nº 11.462/2023):</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9.4.1</w:t>
      </w:r>
      <w:r w:rsidRPr="00B32B0A">
        <w:rPr>
          <w:rFonts w:ascii="Arial" w:eastAsia="Times New Roman" w:hAnsi="Arial" w:cs="Arial"/>
          <w:color w:val="000000"/>
          <w:sz w:val="24"/>
          <w:szCs w:val="24"/>
        </w:rPr>
        <w:t>.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9.4.2</w:t>
      </w:r>
      <w:r w:rsidRPr="00B32B0A">
        <w:rPr>
          <w:rFonts w:ascii="Arial" w:eastAsia="Times New Roman" w:hAnsi="Arial" w:cs="Arial"/>
          <w:color w:val="000000"/>
          <w:sz w:val="24"/>
          <w:szCs w:val="24"/>
        </w:rPr>
        <w:t>. em caso de criação, alteração ou extinção de quaisquer tributos ou encargos legais ou superveniência de disposições legais, com comprovada repercussão sobre os preços registrados;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9.4.3</w:t>
      </w:r>
      <w:r w:rsidRPr="00B32B0A">
        <w:rPr>
          <w:rFonts w:ascii="Arial" w:eastAsia="Times New Roman" w:hAnsi="Arial" w:cs="Arial"/>
          <w:color w:val="000000"/>
          <w:sz w:val="24"/>
          <w:szCs w:val="24"/>
        </w:rPr>
        <w:t>. serão reajustados os preços registrados, respeitada a contagem da anualidade e o índice previsto para a contratação; ou</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9.4.4</w:t>
      </w:r>
      <w:r w:rsidRPr="00B32B0A">
        <w:rPr>
          <w:rFonts w:ascii="Arial" w:eastAsia="Times New Roman" w:hAnsi="Arial" w:cs="Arial"/>
          <w:color w:val="000000"/>
          <w:sz w:val="24"/>
          <w:szCs w:val="24"/>
        </w:rPr>
        <w:t>. poderão ser repactuados, a pedido do interessado, conforme critérios definidos para a contratação.</w:t>
      </w:r>
    </w:p>
    <w:p w14:paraId="623E9055"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10. DAS OBRIGAÇÕES DA CONTRATANTE</w:t>
      </w:r>
    </w:p>
    <w:p w14:paraId="1533FF72"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10.1</w:t>
      </w:r>
      <w:r w:rsidRPr="00B32B0A">
        <w:rPr>
          <w:rFonts w:ascii="Arial" w:eastAsia="Times New Roman" w:hAnsi="Arial" w:cs="Arial"/>
          <w:color w:val="000000"/>
          <w:sz w:val="24"/>
          <w:szCs w:val="24"/>
        </w:rPr>
        <w:t xml:space="preserve"> São obrigações da Contratante: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10.1.1</w:t>
      </w:r>
      <w:r w:rsidRPr="00B32B0A">
        <w:rPr>
          <w:rFonts w:ascii="Arial" w:eastAsia="Times New Roman" w:hAnsi="Arial" w:cs="Arial"/>
          <w:color w:val="000000"/>
          <w:sz w:val="24"/>
          <w:szCs w:val="24"/>
        </w:rPr>
        <w:t>. receber o objeto no prazo e condições estabelecidas no Edital e seus anexos;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10.1.2</w:t>
      </w:r>
      <w:r w:rsidRPr="00B32B0A">
        <w:rPr>
          <w:rFonts w:ascii="Arial" w:eastAsia="Times New Roman" w:hAnsi="Arial" w:cs="Arial"/>
          <w:color w:val="000000"/>
          <w:sz w:val="24"/>
          <w:szCs w:val="24"/>
        </w:rPr>
        <w:t xml:space="preserve"> verificar minuciosamente, no prazo fixado, a conformidade dos itens recebidos provisoriamente com as especificações constantes da proposta, para fins de aceitação e recebimento definitivo;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10.1.3.</w:t>
      </w:r>
      <w:r w:rsidRPr="00B32B0A">
        <w:rPr>
          <w:rFonts w:ascii="Arial" w:eastAsia="Times New Roman" w:hAnsi="Arial" w:cs="Arial"/>
          <w:color w:val="000000"/>
          <w:sz w:val="24"/>
          <w:szCs w:val="24"/>
        </w:rPr>
        <w:t xml:space="preserve"> comunicar à Contratada, por escrito, sobre imperfeições, falhas ou irregularidades verificadas no objeto fornecido, para que seja substituído, reparado ou corrigido;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10.1.4</w:t>
      </w:r>
      <w:r w:rsidRPr="00B32B0A">
        <w:rPr>
          <w:rFonts w:ascii="Arial" w:eastAsia="Times New Roman" w:hAnsi="Arial" w:cs="Arial"/>
          <w:color w:val="000000"/>
          <w:sz w:val="24"/>
          <w:szCs w:val="24"/>
        </w:rPr>
        <w:t>. acompanhar e fiscalizar o cumprimento das obrigações da Contratada, através de comissão/servidor especialmente designado; 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10.1.5</w:t>
      </w:r>
      <w:r w:rsidRPr="00B32B0A">
        <w:rPr>
          <w:rFonts w:ascii="Arial" w:eastAsia="Times New Roman" w:hAnsi="Arial" w:cs="Arial"/>
          <w:color w:val="000000"/>
          <w:sz w:val="24"/>
          <w:szCs w:val="24"/>
        </w:rPr>
        <w:t>. efetuar o pagamento à Contratada no valor correspondente ao fornecimento do objeto, no prazo e forma estabelecidos na documentação descritiva e seus anexos;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10.2.</w:t>
      </w:r>
      <w:r w:rsidRPr="00B32B0A">
        <w:rPr>
          <w:rFonts w:ascii="Arial" w:eastAsia="Times New Roman" w:hAnsi="Arial" w:cs="Arial"/>
          <w:color w:val="000000"/>
          <w:sz w:val="24"/>
          <w:szCs w:val="24"/>
        </w:rPr>
        <w:t xml:space="preserve">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06DB87D8"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11. DAS OBRIGAÇÕES DA CONTRATADA</w:t>
      </w:r>
    </w:p>
    <w:p w14:paraId="2EF70B43"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11.1.</w:t>
      </w:r>
      <w:r w:rsidRPr="00B32B0A">
        <w:rPr>
          <w:rFonts w:ascii="Arial" w:eastAsia="Times New Roman" w:hAnsi="Arial" w:cs="Arial"/>
          <w:color w:val="000000"/>
          <w:sz w:val="24"/>
          <w:szCs w:val="24"/>
        </w:rPr>
        <w:t xml:space="preserve"> A Contratada deve cumprir todas as obrigações constantes na proposta e documentos complementares, incluindo seus anexos,</w:t>
      </w:r>
      <w:r w:rsidRPr="00B32B0A">
        <w:rPr>
          <w:rFonts w:ascii="Arial" w:eastAsia="Times New Roman" w:hAnsi="Arial" w:cs="Arial"/>
          <w:color w:val="000000"/>
          <w:sz w:val="24"/>
          <w:szCs w:val="24"/>
        </w:rPr>
        <w:br/>
        <w:t>assumindo como exclusivamente seus os riscos e as despesas decorrentes da boa e perfeita execução do objeto e, ainda:</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11.1.1.</w:t>
      </w:r>
      <w:r w:rsidRPr="00B32B0A">
        <w:rPr>
          <w:rFonts w:ascii="Arial" w:eastAsia="Times New Roman" w:hAnsi="Arial" w:cs="Arial"/>
          <w:color w:val="000000"/>
          <w:sz w:val="24"/>
          <w:szCs w:val="24"/>
        </w:rPr>
        <w:t xml:space="preserve"> efetuar a entrega do objeto em perfeitas condições, conforme especificações, prazo e local</w:t>
      </w:r>
      <w:r w:rsidRPr="00B32B0A">
        <w:rPr>
          <w:rFonts w:ascii="Arial" w:eastAsia="Times New Roman" w:hAnsi="Arial" w:cs="Arial"/>
          <w:color w:val="000000"/>
          <w:sz w:val="24"/>
          <w:szCs w:val="24"/>
        </w:rPr>
        <w:br/>
        <w:t>constantes no Termo de Referência e seus anexos, acompanhado da respectiva nota fiscal;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11.1.2.</w:t>
      </w:r>
      <w:r w:rsidRPr="00B32B0A">
        <w:rPr>
          <w:rFonts w:ascii="Arial" w:eastAsia="Times New Roman" w:hAnsi="Arial" w:cs="Arial"/>
          <w:color w:val="000000"/>
          <w:sz w:val="24"/>
          <w:szCs w:val="24"/>
        </w:rPr>
        <w:t xml:space="preserve"> responsabilizar-se pelos vícios e danos decorrentes do objeto, de acordo com os artigos 12,13 e 17 a 27, do Código de Defesa do Consumidor (Lei nº 8.078, de 1990), quando cabível;</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11.1.3</w:t>
      </w:r>
      <w:r w:rsidRPr="00B32B0A">
        <w:rPr>
          <w:rFonts w:ascii="Arial" w:eastAsia="Times New Roman" w:hAnsi="Arial" w:cs="Arial"/>
          <w:color w:val="000000"/>
          <w:sz w:val="24"/>
          <w:szCs w:val="24"/>
        </w:rPr>
        <w:t>. substituir, reparar ou corrigir, às suas expensas, no prazo fixado neste Termo de Referência, os itens com avarias ou defeitos;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11.1.4</w:t>
      </w:r>
      <w:r w:rsidRPr="00B32B0A">
        <w:rPr>
          <w:rFonts w:ascii="Arial" w:eastAsia="Times New Roman" w:hAnsi="Arial" w:cs="Arial"/>
          <w:color w:val="000000"/>
          <w:sz w:val="24"/>
          <w:szCs w:val="24"/>
        </w:rPr>
        <w:t xml:space="preserve">. comunicar à Contratante, no prazo máximo de 24 (vinte e quatro) horas que </w:t>
      </w:r>
      <w:r w:rsidRPr="00B32B0A">
        <w:rPr>
          <w:rFonts w:ascii="Arial" w:eastAsia="Times New Roman" w:hAnsi="Arial" w:cs="Arial"/>
          <w:color w:val="000000"/>
          <w:sz w:val="24"/>
          <w:szCs w:val="24"/>
        </w:rPr>
        <w:lastRenderedPageBreak/>
        <w:t>antecede a data da entrega, os motivos que impossibilitem o cumprimento do prazo previsto, com a devida comprovação;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11.1.5</w:t>
      </w:r>
      <w:r w:rsidRPr="00B32B0A">
        <w:rPr>
          <w:rFonts w:ascii="Arial" w:eastAsia="Times New Roman" w:hAnsi="Arial" w:cs="Arial"/>
          <w:color w:val="000000"/>
          <w:sz w:val="24"/>
          <w:szCs w:val="24"/>
        </w:rPr>
        <w:t>. manter, durante toda a execução do contrato, em compatibilidade com as obrigações assumidas, todas as condições de habilitação e qualificação exigidas na licitação, quando cabível.</w:t>
      </w:r>
    </w:p>
    <w:p w14:paraId="5677E01B"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12. DO REAJUSTE</w:t>
      </w:r>
    </w:p>
    <w:p w14:paraId="4FDD52AF"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12.1</w:t>
      </w:r>
      <w:r w:rsidRPr="00B32B0A">
        <w:rPr>
          <w:rFonts w:ascii="Arial" w:eastAsia="Times New Roman" w:hAnsi="Arial" w:cs="Arial"/>
          <w:color w:val="000000"/>
          <w:sz w:val="24"/>
          <w:szCs w:val="24"/>
        </w:rPr>
        <w:t xml:space="preserve"> Os preços são fixos e irreajustáveis no prazo de um ano contado da data limite para a apresentação das propostas.</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12.2</w:t>
      </w:r>
      <w:r w:rsidRPr="00B32B0A">
        <w:rPr>
          <w:rFonts w:ascii="Arial" w:eastAsia="Times New Roman" w:hAnsi="Arial" w:cs="Arial"/>
          <w:color w:val="000000"/>
          <w:sz w:val="24"/>
          <w:szCs w:val="24"/>
        </w:rPr>
        <w:t xml:space="preserve"> Dentro do prazo de vigência do contrato e mediante solicitação da contratada, os preços contratados poderão sofrer reajuste após o interregno de um ano, aplicando-se o índice IPCA-E (ou outro conforme comunicação da CONTRATANTE) e exclusivamente para as obrigações iniciadas e concluídas após a ocorrência da anualidade.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12.3</w:t>
      </w:r>
      <w:r w:rsidRPr="00B32B0A">
        <w:rPr>
          <w:rFonts w:ascii="Arial" w:eastAsia="Times New Roman" w:hAnsi="Arial" w:cs="Arial"/>
          <w:color w:val="000000"/>
          <w:sz w:val="24"/>
          <w:szCs w:val="24"/>
        </w:rPr>
        <w:t xml:space="preserve"> Nos reajustes subsequentes ao primeiro, o interregno mínimo de um ano será contado a partir dos efeitos financeiros do último reajuste.</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12.4</w:t>
      </w:r>
      <w:r w:rsidRPr="00B32B0A">
        <w:rPr>
          <w:rFonts w:ascii="Arial" w:eastAsia="Times New Roman" w:hAnsi="Arial" w:cs="Arial"/>
          <w:color w:val="000000"/>
          <w:sz w:val="24"/>
          <w:szCs w:val="24"/>
        </w:rPr>
        <w:t xml:space="preserve"> No caso de atraso ou não divulgação do índice de reajustamento, o CONTRATANTE pagará à CONTRATADA a importância calculada pela última variação conhecida, liquidando a diferença correspondente tão logo seja divulgado o índice definitivo.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12.5</w:t>
      </w:r>
      <w:r w:rsidRPr="00B32B0A">
        <w:rPr>
          <w:rFonts w:ascii="Arial" w:eastAsia="Times New Roman" w:hAnsi="Arial" w:cs="Arial"/>
          <w:color w:val="000000"/>
          <w:sz w:val="24"/>
          <w:szCs w:val="24"/>
        </w:rPr>
        <w:t xml:space="preserve"> Fica a CONTRATADA obrigada a apresentar memória de cálculo referente ao reajustamento de preços do valor remanescente, sempre que este ocorrer.</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12.6</w:t>
      </w:r>
      <w:r w:rsidRPr="00B32B0A">
        <w:rPr>
          <w:rFonts w:ascii="Arial" w:eastAsia="Times New Roman" w:hAnsi="Arial" w:cs="Arial"/>
          <w:color w:val="000000"/>
          <w:sz w:val="24"/>
          <w:szCs w:val="24"/>
        </w:rPr>
        <w:t xml:space="preserve"> Nas aferições finais, o índice utilizado para reajuste será, obrigatoriamente, o definitivo.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12.7</w:t>
      </w:r>
      <w:r w:rsidRPr="00B32B0A">
        <w:rPr>
          <w:rFonts w:ascii="Arial" w:eastAsia="Times New Roman" w:hAnsi="Arial" w:cs="Arial"/>
          <w:color w:val="000000"/>
          <w:sz w:val="24"/>
          <w:szCs w:val="24"/>
        </w:rPr>
        <w:t xml:space="preserve"> Caso o índice estabelecido para reajustamento venha a ser extinto ou de qualquer forma não possa mais ser utilizado, será adotado, em substituição, o que vier a ser determinado pela legislação então em vigor.</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12.8</w:t>
      </w:r>
      <w:r w:rsidRPr="00B32B0A">
        <w:rPr>
          <w:rFonts w:ascii="Arial" w:eastAsia="Times New Roman" w:hAnsi="Arial" w:cs="Arial"/>
          <w:color w:val="000000"/>
          <w:sz w:val="24"/>
          <w:szCs w:val="24"/>
        </w:rPr>
        <w:t xml:space="preserve"> Na ausência de previsão legal quanto ao índice substituto, as partes elegerão novo índice oficial, para reajustamento do preço do valor remanescente, por meio de termo aditivo.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12.9</w:t>
      </w:r>
      <w:r w:rsidRPr="00B32B0A">
        <w:rPr>
          <w:rFonts w:ascii="Arial" w:eastAsia="Times New Roman" w:hAnsi="Arial" w:cs="Arial"/>
          <w:color w:val="000000"/>
          <w:sz w:val="24"/>
          <w:szCs w:val="24"/>
        </w:rPr>
        <w:t xml:space="preserve"> O reajuste será realizado por apostilamento.</w:t>
      </w:r>
    </w:p>
    <w:p w14:paraId="78B9EC78"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13. SANÇÕES ADMINISTRATIVAS</w:t>
      </w:r>
    </w:p>
    <w:p w14:paraId="0FB1C330"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r w:rsidRPr="00B32B0A">
        <w:rPr>
          <w:rFonts w:ascii="Arial" w:eastAsia="Times New Roman" w:hAnsi="Arial" w:cs="Arial"/>
          <w:b/>
          <w:bCs/>
          <w:color w:val="000000"/>
          <w:sz w:val="24"/>
          <w:szCs w:val="24"/>
        </w:rPr>
        <w:t>13.1</w:t>
      </w:r>
      <w:r w:rsidRPr="00B32B0A">
        <w:rPr>
          <w:rFonts w:ascii="Arial" w:eastAsia="Times New Roman" w:hAnsi="Arial" w:cs="Arial"/>
          <w:color w:val="000000"/>
          <w:sz w:val="24"/>
          <w:szCs w:val="24"/>
        </w:rPr>
        <w:t>. O licitante e o contratado que incorram em infrações sujeitam-se às sanções administrativas previstas no art. 156 da Lei Federal nº 14.133, de 2021, sem prejuízo de eventuais implicações penais nos termos do que prevê o Capítulo II-B do Título XI do Código Penal.</w:t>
      </w:r>
    </w:p>
    <w:p w14:paraId="3199CB33"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t>14. DA ADEQUAÇÃO ORÇAMENTÁRIA</w:t>
      </w:r>
    </w:p>
    <w:p w14:paraId="7415374B" w14:textId="77777777" w:rsidR="00B32B0A" w:rsidRPr="00B32B0A" w:rsidRDefault="00B32B0A" w:rsidP="00B32B0A">
      <w:pPr>
        <w:spacing w:before="100" w:beforeAutospacing="1" w:after="100" w:afterAutospacing="1" w:line="240" w:lineRule="auto"/>
        <w:jc w:val="both"/>
        <w:rPr>
          <w:rFonts w:ascii="Arial" w:eastAsia="Times New Roman" w:hAnsi="Arial" w:cs="Arial"/>
          <w:color w:val="000000"/>
          <w:sz w:val="24"/>
          <w:szCs w:val="24"/>
        </w:rPr>
      </w:pPr>
      <w:r w:rsidRPr="00B32B0A">
        <w:rPr>
          <w:rFonts w:ascii="Arial" w:eastAsia="Times New Roman" w:hAnsi="Arial" w:cs="Arial"/>
          <w:b/>
          <w:bCs/>
          <w:color w:val="000000"/>
          <w:sz w:val="24"/>
          <w:szCs w:val="24"/>
        </w:rPr>
        <w:t>14.1</w:t>
      </w:r>
      <w:r w:rsidRPr="00B32B0A">
        <w:rPr>
          <w:rFonts w:ascii="Arial" w:eastAsia="Times New Roman" w:hAnsi="Arial" w:cs="Arial"/>
          <w:color w:val="000000"/>
          <w:sz w:val="24"/>
          <w:szCs w:val="24"/>
        </w:rPr>
        <w:t>. As despesas decorrentes da presente contratação correrão à conta de recursos específicos consignados no Orçamento Geral do Município.</w:t>
      </w:r>
      <w:r w:rsidRPr="00B32B0A">
        <w:rPr>
          <w:rFonts w:ascii="Arial" w:eastAsia="Times New Roman" w:hAnsi="Arial" w:cs="Arial"/>
          <w:color w:val="000000"/>
          <w:sz w:val="24"/>
          <w:szCs w:val="24"/>
        </w:rPr>
        <w:br/>
      </w:r>
      <w:r w:rsidRPr="00B32B0A">
        <w:rPr>
          <w:rFonts w:ascii="Arial" w:eastAsia="Times New Roman" w:hAnsi="Arial" w:cs="Arial"/>
          <w:b/>
          <w:bCs/>
          <w:color w:val="000000"/>
          <w:sz w:val="24"/>
          <w:szCs w:val="24"/>
        </w:rPr>
        <w:t>14.2</w:t>
      </w:r>
      <w:r w:rsidRPr="00B32B0A">
        <w:rPr>
          <w:rFonts w:ascii="Arial" w:eastAsia="Times New Roman" w:hAnsi="Arial" w:cs="Arial"/>
          <w:color w:val="000000"/>
          <w:sz w:val="24"/>
          <w:szCs w:val="24"/>
        </w:rPr>
        <w:t>. A dotação orçamentária será informada pela área responsável pelo planejamento financeiro.</w:t>
      </w:r>
    </w:p>
    <w:p w14:paraId="6CF73B4B" w14:textId="77777777" w:rsidR="00B32B0A" w:rsidRPr="00B32B0A" w:rsidRDefault="00B32B0A" w:rsidP="00B32B0A">
      <w:pPr>
        <w:spacing w:before="100" w:beforeAutospacing="1" w:after="100" w:afterAutospacing="1" w:line="240" w:lineRule="auto"/>
        <w:jc w:val="both"/>
        <w:rPr>
          <w:rFonts w:ascii="Arial" w:eastAsia="Times New Roman" w:hAnsi="Arial" w:cs="Arial"/>
          <w:color w:val="000000"/>
          <w:sz w:val="24"/>
          <w:szCs w:val="24"/>
        </w:rPr>
      </w:pPr>
    </w:p>
    <w:p w14:paraId="63AAA09C" w14:textId="77777777" w:rsidR="00B32B0A" w:rsidRPr="00B32B0A" w:rsidRDefault="00B32B0A" w:rsidP="00B32B0A">
      <w:pPr>
        <w:spacing w:before="100" w:beforeAutospacing="1" w:after="100" w:afterAutospacing="1" w:line="240" w:lineRule="auto"/>
        <w:rPr>
          <w:rFonts w:ascii="Arial" w:eastAsia="Times New Roman" w:hAnsi="Arial" w:cs="Arial"/>
          <w:b/>
          <w:bCs/>
          <w:sz w:val="24"/>
          <w:szCs w:val="24"/>
        </w:rPr>
      </w:pPr>
      <w:r w:rsidRPr="00B32B0A">
        <w:rPr>
          <w:rFonts w:ascii="Arial" w:eastAsia="Times New Roman" w:hAnsi="Arial" w:cs="Arial"/>
          <w:b/>
          <w:bCs/>
          <w:sz w:val="24"/>
          <w:szCs w:val="24"/>
        </w:rPr>
        <w:lastRenderedPageBreak/>
        <w:t>15. TABELA COM ESTIMATIVAS DE VALOR</w:t>
      </w:r>
    </w:p>
    <w:tbl>
      <w:tblPr>
        <w:tblStyle w:val="Tabelacomgrade"/>
        <w:tblW w:w="0" w:type="auto"/>
        <w:tblLook w:val="04A0" w:firstRow="1" w:lastRow="0" w:firstColumn="1" w:lastColumn="0" w:noHBand="0" w:noVBand="1"/>
      </w:tblPr>
      <w:tblGrid>
        <w:gridCol w:w="756"/>
        <w:gridCol w:w="4462"/>
        <w:gridCol w:w="1391"/>
        <w:gridCol w:w="1880"/>
      </w:tblGrid>
      <w:tr w:rsidR="00B32B0A" w:rsidRPr="00B32B0A" w14:paraId="39B27B7E" w14:textId="77777777" w:rsidTr="00D72647">
        <w:trPr>
          <w:trHeight w:val="705"/>
        </w:trPr>
        <w:tc>
          <w:tcPr>
            <w:tcW w:w="756" w:type="dxa"/>
          </w:tcPr>
          <w:p w14:paraId="23E05DF6" w14:textId="77777777" w:rsidR="00B32B0A" w:rsidRPr="00B32B0A" w:rsidRDefault="00B32B0A" w:rsidP="00B32B0A">
            <w:pPr>
              <w:spacing w:line="360" w:lineRule="auto"/>
              <w:jc w:val="center"/>
              <w:rPr>
                <w:rFonts w:ascii="Arial" w:hAnsi="Arial" w:cs="Arial"/>
                <w:b/>
                <w:bCs/>
              </w:rPr>
            </w:pPr>
            <w:r w:rsidRPr="00B32B0A">
              <w:rPr>
                <w:rFonts w:ascii="Arial" w:hAnsi="Arial" w:cs="Arial"/>
                <w:b/>
                <w:bCs/>
              </w:rPr>
              <w:t>ITEM</w:t>
            </w:r>
          </w:p>
        </w:tc>
        <w:tc>
          <w:tcPr>
            <w:tcW w:w="4462" w:type="dxa"/>
          </w:tcPr>
          <w:p w14:paraId="71815F4F" w14:textId="77777777" w:rsidR="00B32B0A" w:rsidRPr="00B32B0A" w:rsidRDefault="00B32B0A" w:rsidP="00B32B0A">
            <w:pPr>
              <w:spacing w:line="360" w:lineRule="auto"/>
              <w:jc w:val="center"/>
              <w:rPr>
                <w:rFonts w:ascii="Arial" w:hAnsi="Arial" w:cs="Arial"/>
                <w:b/>
                <w:bCs/>
              </w:rPr>
            </w:pPr>
            <w:r w:rsidRPr="00B32B0A">
              <w:rPr>
                <w:rFonts w:ascii="Arial" w:hAnsi="Arial" w:cs="Arial"/>
                <w:b/>
                <w:bCs/>
              </w:rPr>
              <w:t>DESCRIÇÃO</w:t>
            </w:r>
          </w:p>
        </w:tc>
        <w:tc>
          <w:tcPr>
            <w:tcW w:w="1391" w:type="dxa"/>
          </w:tcPr>
          <w:p w14:paraId="0B325BB4" w14:textId="77777777" w:rsidR="00B32B0A" w:rsidRPr="00B32B0A" w:rsidRDefault="00B32B0A" w:rsidP="00B32B0A">
            <w:pPr>
              <w:spacing w:line="360" w:lineRule="auto"/>
              <w:jc w:val="center"/>
              <w:rPr>
                <w:rFonts w:ascii="Arial" w:hAnsi="Arial" w:cs="Arial"/>
                <w:b/>
                <w:bCs/>
              </w:rPr>
            </w:pPr>
            <w:r w:rsidRPr="00B32B0A">
              <w:rPr>
                <w:rFonts w:ascii="Arial" w:hAnsi="Arial" w:cs="Arial"/>
                <w:b/>
                <w:bCs/>
              </w:rPr>
              <w:t>QTDE</w:t>
            </w:r>
          </w:p>
        </w:tc>
        <w:tc>
          <w:tcPr>
            <w:tcW w:w="1880" w:type="dxa"/>
          </w:tcPr>
          <w:p w14:paraId="25F4C190" w14:textId="77777777" w:rsidR="00B32B0A" w:rsidRPr="00B32B0A" w:rsidRDefault="00B32B0A" w:rsidP="00B32B0A">
            <w:pPr>
              <w:spacing w:line="360" w:lineRule="auto"/>
              <w:jc w:val="center"/>
              <w:rPr>
                <w:rFonts w:ascii="Arial" w:hAnsi="Arial" w:cs="Arial"/>
                <w:b/>
                <w:bCs/>
              </w:rPr>
            </w:pPr>
            <w:r w:rsidRPr="00B32B0A">
              <w:rPr>
                <w:rFonts w:ascii="Arial" w:hAnsi="Arial" w:cs="Arial"/>
                <w:b/>
                <w:bCs/>
              </w:rPr>
              <w:t xml:space="preserve">VALOR ESTIMADO ANUAL (R$) </w:t>
            </w:r>
          </w:p>
        </w:tc>
      </w:tr>
      <w:tr w:rsidR="00B32B0A" w:rsidRPr="00B32B0A" w14:paraId="445C3AFC" w14:textId="77777777" w:rsidTr="00D72647">
        <w:trPr>
          <w:trHeight w:val="414"/>
        </w:trPr>
        <w:tc>
          <w:tcPr>
            <w:tcW w:w="756" w:type="dxa"/>
          </w:tcPr>
          <w:p w14:paraId="0F3863DF" w14:textId="77777777" w:rsidR="00B32B0A" w:rsidRPr="00B32B0A" w:rsidRDefault="00B32B0A" w:rsidP="00B32B0A">
            <w:pPr>
              <w:spacing w:line="360" w:lineRule="auto"/>
              <w:jc w:val="both"/>
              <w:rPr>
                <w:rFonts w:ascii="Arial" w:hAnsi="Arial" w:cs="Arial"/>
              </w:rPr>
            </w:pPr>
            <w:r w:rsidRPr="00B32B0A">
              <w:rPr>
                <w:rFonts w:ascii="Arial" w:hAnsi="Arial" w:cs="Arial"/>
              </w:rPr>
              <w:t>01</w:t>
            </w:r>
          </w:p>
        </w:tc>
        <w:tc>
          <w:tcPr>
            <w:tcW w:w="4462" w:type="dxa"/>
          </w:tcPr>
          <w:p w14:paraId="015C265A" w14:textId="77777777" w:rsidR="00B32B0A" w:rsidRPr="00B32B0A" w:rsidRDefault="00B32B0A" w:rsidP="00B32B0A">
            <w:pPr>
              <w:jc w:val="both"/>
            </w:pPr>
            <w:r w:rsidRPr="00B32B0A">
              <w:rPr>
                <w:rFonts w:ascii="Century Gothic" w:hAnsi="Century Gothic"/>
                <w:color w:val="000000" w:themeColor="text1"/>
                <w:sz w:val="20"/>
                <w:szCs w:val="20"/>
              </w:rPr>
              <w:t>PRESTAÇÃO DE SERVIÇOS EM PONTO ANUAL:</w:t>
            </w:r>
            <w:r w:rsidRPr="00B32B0A">
              <w:rPr>
                <w:rFonts w:ascii="Century Gothic" w:hAnsi="Century Gothic"/>
                <w:color w:val="000000" w:themeColor="text1"/>
                <w:sz w:val="20"/>
                <w:szCs w:val="20"/>
              </w:rPr>
              <w:br/>
              <w:t>VISITA TÉCNICA PRESENCIAL/LOCAL COM DURAÇÃO DE ATÉ 05 (CINCO) DIAS SEGUIDOS/CONSECUTIVOS PARA VISTORIA NOS DOS REGISTRADORES ELETRÔNICOS DE PONTO NOS LOCAIS DE INSTALAÇÃO PARA MONITORAMENTO  DO FUNCIONAMENTO, EXTRAÇÃO DO BACKUP DOS BANCOS DE DADOS, EXTRAÇÃO DOS ARQUIVOS FISCAIS AFD PARA ARMAZENAMENTO NO SERVIDOR LOCAL DO MUNICÍPIO E LIMPEZAS EXTERNAS SUPERFICIAIS DOS LEITORES BIOMÉTRICOS AFIM DE PRESERVAR E AUMENTAR A VIDA ÚTIL DOS LEITORES. MIGRAÇÃO DO SOFTWARE DE TRATAMENTO DOS REGISTROS DE PONTO ATUAL EXISTENTES NO MUNICÍPIO DE ÁGUIA BRANCA DESDE O ANO DE 2015 REGIDO PELA PORTARIA 1.510/2009 PARA PORTARIA 671/2021 DO MTE (MINISTÉRIO DO TRABALHO E EMPREGO), BEM COMO TAMBÉM ADEQUAÇÃO DA NORMAS DA LGPD (LEI GERAL DE PROTEÇÃO DE DADOS). INCLUSO: LICENÇAS ANUAIS DE USO, ATIVAÇÃO ANUAL DAS LICENÇAS DE USO ON-LINE/REMOTO;</w:t>
            </w:r>
            <w:r w:rsidRPr="00B32B0A">
              <w:rPr>
                <w:rFonts w:ascii="Century Gothic" w:hAnsi="Century Gothic"/>
                <w:color w:val="000000" w:themeColor="text1"/>
                <w:sz w:val="20"/>
                <w:szCs w:val="20"/>
              </w:rPr>
              <w:br/>
              <w:t>INSTALAÇÃO DO BANCO DE DADOS NO PADRÃO EM SQL SERVER PARA</w:t>
            </w:r>
            <w:r w:rsidRPr="00B32B0A">
              <w:rPr>
                <w:rFonts w:ascii="Century Gothic" w:hAnsi="Century Gothic"/>
                <w:color w:val="000000" w:themeColor="text1"/>
                <w:sz w:val="20"/>
                <w:szCs w:val="20"/>
              </w:rPr>
              <w:br/>
              <w:t xml:space="preserve">IMPORTAÇÃO DE TODOS OS REGISTROS DE PONTO (BANCO DE DADOS EXISTENTES NOS SISTEMAS A FIM DE PRESERVAR TODOS OS HISTÓRICOS DE REGISTROS DE PONTO ARMAZENADOS E TRATADOS PELO SOFTWARE DE TRATAMENTO DOS REGISTROS DE PONTO ATUAL, GARANTINDO A EXPORTAÇÃO DOS DADOS PARA APRESENTAÇÃO DOS ÓRGÃOS FISCALIZADORES E SERVIDORES CONFORME NECESSIDADES FUTURAS SE HOUVER, CONFIGURAÇÃO DO BANCO DE DADOS DOS SISTEMAS PARA EXPORTAÇÃO DO BANCO DE DADOS/BACKUP AO BANCO DE DADOS NOS PADRÕES EM SQL SERVER, IMPORTAÇÃO DAS JORNADAS DE TRABALHOS, BEM COMO CONFIGURAÇÕES DE GRUPOS DE EXTRAS, ADICIONAIS NOTURNOS, DSR, ESCALAS DE  TRABALHOS, </w:t>
            </w:r>
            <w:r w:rsidRPr="00B32B0A">
              <w:rPr>
                <w:rFonts w:ascii="Century Gothic" w:hAnsi="Century Gothic"/>
                <w:color w:val="000000" w:themeColor="text1"/>
                <w:sz w:val="20"/>
                <w:szCs w:val="20"/>
              </w:rPr>
              <w:lastRenderedPageBreak/>
              <w:t xml:space="preserve">FERIADOS, PONTOS FACULTATIVOS, JUSTIFICATIVAS GERAIS, TODAS CONFIGURAÇÕES E OCORRÊNCIAS EXISTENTES CONFORME HISTÓRICO E REALIDADE ATUAL DOS SISTEMAS, BEM COMO TAMBÉM IMPORTAÇÃO DAS JUSTIFICATIVAS E PONTOS FACULTATIVOS. SUPORTE TÉCNICO/AUXÍLIOS ON-LINE/REMOTO ILIMITADOS CONFORME AGENDAMENTO E SOLICITAÇÕES DOS SERVIDORES RESPONSÁVEIS PELAS UTILIZAÇÕES, AFERIÇÕES E FECHAMENTOS MENSAIS  DOS DADOS TRATADOS NO SOFTWARES DE TRATAMENTO DOS </w:t>
            </w:r>
            <w:r w:rsidRPr="00B32B0A">
              <w:rPr>
                <w:rFonts w:ascii="Century Gothic" w:hAnsi="Century Gothic"/>
                <w:color w:val="000000" w:themeColor="text1"/>
                <w:sz w:val="20"/>
                <w:szCs w:val="20"/>
              </w:rPr>
              <w:br/>
              <w:t xml:space="preserve">REGISTROS DE PONTO DAS SECRETARIAS MUNICIPAIS DO MUNICÍPIO DE ÁGUIA BRANCA. </w:t>
            </w:r>
            <w:r w:rsidRPr="00B32B0A">
              <w:rPr>
                <w:rFonts w:ascii="Century Gothic" w:hAnsi="Century Gothic"/>
                <w:color w:val="000000" w:themeColor="text1"/>
                <w:sz w:val="20"/>
                <w:szCs w:val="20"/>
              </w:rPr>
              <w:br/>
              <w:t xml:space="preserve">ADEQUAÇÃO DA EXPANSÃO DA CAPACIDADE DE DADOS DA NOVA VERSÃO REGIDA PELA PORTARIA 671/2021 DO MTE (MINISTÉRIO DO TRABALHO E EMPREGO) DE ATÉ 400 CADASTROS DE SERVIDORES NO BANCO DE DADOS DA SECRETARIA MUNICIPAL DE SAÚDE E NAS DEMAIS SECRETARIAS EXISTENTES DO MUNICÍPIO A EXPANSÃO DE CADA BANCO DE DADOS DE ATÉ 200 CADASTROS DE SERVIDORES. ATUALIZAÇÕES DAS VERSÕES ILIMITADAS CONFORME NECESSIDADE CONFORME REGRAS FUTURAS DO MTE (MINISTÉRIO DO TRABALHO E EMPREGO). TREINAMENTO PRESENCIAL/LOCAL EM CADA SECRETARIA MUNICIPAL COM CAPACITAÇÃO PARA OPERAÇÃO E CONFIGURAÇÃO DA NOVA VERSÃO DO SOFTWARE DE TRATAMENTO DOS REGISTROS DE PONTO REGIDO PELA PORTARIA 671/2021 DENTRO DO PRAZO PREVISTO DE ATÉ 05 DIAS PARA REALIZAÇÃO DE TODAS AS ADEQUAÇÕES NECESSÁRIAS PARA MIGRAÇÃO E ATIVAÇÃO DA NOVA VERSÃO. CONFIGURAÇÃO E PARAMETRIZAÇÕES DE REDES DE COMUNICAÇÃO INTERNAS ENTRE OS REGISTRADORES ELETRÔNICOS DE REGISTROS DE PONTO E SOFTWARE DE TRATAMENTO DOS REGISTROS DE PONTO PARA GERENCIADORES AUTOMÁTICOS DE REGISTROS, SERVIÇOS ON-LINE DE BACKUP DE DADOS AUTOMÁTICOS DE DADOS DO SOFTWARE DE TRATAMENTO DOS REGISTROS DE PONTO. </w:t>
            </w:r>
            <w:r w:rsidRPr="00B32B0A">
              <w:rPr>
                <w:rFonts w:cs="Calibri"/>
                <w:sz w:val="18"/>
                <w:szCs w:val="18"/>
              </w:rPr>
              <w:br/>
            </w:r>
          </w:p>
          <w:p w14:paraId="4737F0FC" w14:textId="77777777" w:rsidR="00B32B0A" w:rsidRPr="00B32B0A" w:rsidRDefault="00B32B0A" w:rsidP="00B32B0A">
            <w:pPr>
              <w:spacing w:line="360" w:lineRule="auto"/>
              <w:jc w:val="both"/>
              <w:rPr>
                <w:rFonts w:ascii="Arial" w:hAnsi="Arial" w:cs="Arial"/>
              </w:rPr>
            </w:pPr>
          </w:p>
        </w:tc>
        <w:tc>
          <w:tcPr>
            <w:tcW w:w="1391" w:type="dxa"/>
          </w:tcPr>
          <w:p w14:paraId="4824C66B" w14:textId="77777777" w:rsidR="00B32B0A" w:rsidRPr="00B32B0A" w:rsidRDefault="00B32B0A" w:rsidP="00B32B0A">
            <w:pPr>
              <w:spacing w:line="360" w:lineRule="auto"/>
              <w:jc w:val="both"/>
              <w:rPr>
                <w:rFonts w:ascii="Arial" w:hAnsi="Arial" w:cs="Arial"/>
              </w:rPr>
            </w:pPr>
            <w:r w:rsidRPr="00B32B0A">
              <w:rPr>
                <w:rFonts w:ascii="Arial" w:hAnsi="Arial" w:cs="Arial"/>
              </w:rPr>
              <w:lastRenderedPageBreak/>
              <w:t>01 UN</w:t>
            </w:r>
          </w:p>
        </w:tc>
        <w:tc>
          <w:tcPr>
            <w:tcW w:w="1880" w:type="dxa"/>
          </w:tcPr>
          <w:p w14:paraId="45DCD821" w14:textId="77777777" w:rsidR="00B32B0A" w:rsidRPr="00B32B0A" w:rsidRDefault="00B32B0A" w:rsidP="00B32B0A">
            <w:pPr>
              <w:spacing w:line="360" w:lineRule="auto"/>
              <w:jc w:val="both"/>
              <w:rPr>
                <w:rFonts w:ascii="Arial" w:hAnsi="Arial" w:cs="Arial"/>
              </w:rPr>
            </w:pPr>
            <w:r w:rsidRPr="00B32B0A">
              <w:rPr>
                <w:rFonts w:ascii="Arial" w:hAnsi="Arial" w:cs="Arial"/>
              </w:rPr>
              <w:t>30.000,00</w:t>
            </w:r>
          </w:p>
        </w:tc>
      </w:tr>
    </w:tbl>
    <w:p w14:paraId="214FBCF3" w14:textId="77777777" w:rsidR="00B32B0A" w:rsidRPr="00B32B0A" w:rsidRDefault="00B32B0A" w:rsidP="00B32B0A">
      <w:pPr>
        <w:keepNext/>
        <w:keepLines/>
        <w:spacing w:before="40" w:after="0"/>
        <w:outlineLvl w:val="3"/>
        <w:rPr>
          <w:rFonts w:ascii="Arial" w:eastAsia="Times New Roman" w:hAnsi="Arial" w:cs="Arial"/>
          <w:b/>
          <w:bCs/>
          <w:color w:val="000000"/>
        </w:rPr>
      </w:pPr>
      <w:r w:rsidRPr="00B32B0A">
        <w:rPr>
          <w:rFonts w:ascii="Arial" w:eastAsia="Times New Roman" w:hAnsi="Arial" w:cs="Arial"/>
          <w:b/>
          <w:bCs/>
          <w:color w:val="000000"/>
        </w:rPr>
        <w:lastRenderedPageBreak/>
        <w:t>Das especificações dos serviços e quantitativos</w:t>
      </w:r>
    </w:p>
    <w:p w14:paraId="0B10833B" w14:textId="77777777" w:rsidR="00B32B0A" w:rsidRPr="00B32B0A" w:rsidRDefault="00B32B0A" w:rsidP="00B32B0A">
      <w:pPr>
        <w:keepNext/>
        <w:keepLines/>
        <w:spacing w:before="40" w:after="0"/>
        <w:outlineLvl w:val="3"/>
        <w:rPr>
          <w:rFonts w:ascii="Arial" w:eastAsia="Times New Roman" w:hAnsi="Arial" w:cs="Arial"/>
          <w:color w:val="000000"/>
        </w:rPr>
      </w:pPr>
      <w:r w:rsidRPr="00B32B0A">
        <w:rPr>
          <w:rFonts w:ascii="Arial" w:eastAsia="Times New Roman" w:hAnsi="Arial" w:cs="Arial"/>
          <w:color w:val="000000"/>
        </w:rPr>
        <w:t>1.Visita Técnica e Manutenção Física:</w:t>
      </w:r>
    </w:p>
    <w:p w14:paraId="138736D1" w14:textId="77777777" w:rsidR="00B32B0A" w:rsidRPr="00B32B0A" w:rsidRDefault="00B32B0A" w:rsidP="00B32B0A">
      <w:pPr>
        <w:keepNext/>
        <w:keepLines/>
        <w:numPr>
          <w:ilvl w:val="0"/>
          <w:numId w:val="35"/>
        </w:numPr>
        <w:spacing w:before="40" w:after="0"/>
        <w:outlineLvl w:val="3"/>
        <w:rPr>
          <w:rFonts w:ascii="Arial" w:eastAsia="Times New Roman" w:hAnsi="Arial" w:cs="Arial"/>
          <w:color w:val="000000"/>
        </w:rPr>
      </w:pPr>
      <w:r w:rsidRPr="00B32B0A">
        <w:rPr>
          <w:rFonts w:ascii="Arial" w:eastAsia="Times New Roman" w:hAnsi="Arial" w:cs="Arial"/>
          <w:color w:val="000000"/>
        </w:rPr>
        <w:t>Realização de visita presencial com duração de até 05 (cinco) dias consecutivos.</w:t>
      </w:r>
    </w:p>
    <w:p w14:paraId="454EB53C" w14:textId="77777777" w:rsidR="00B32B0A" w:rsidRPr="00B32B0A" w:rsidRDefault="00B32B0A" w:rsidP="00B32B0A">
      <w:pPr>
        <w:keepNext/>
        <w:keepLines/>
        <w:numPr>
          <w:ilvl w:val="0"/>
          <w:numId w:val="35"/>
        </w:numPr>
        <w:spacing w:before="40" w:after="0"/>
        <w:outlineLvl w:val="3"/>
        <w:rPr>
          <w:rFonts w:ascii="Arial" w:eastAsia="Times New Roman" w:hAnsi="Arial" w:cs="Arial"/>
          <w:color w:val="000000"/>
        </w:rPr>
      </w:pPr>
      <w:r w:rsidRPr="00B32B0A">
        <w:rPr>
          <w:rFonts w:ascii="Arial" w:eastAsia="Times New Roman" w:hAnsi="Arial" w:cs="Arial"/>
          <w:color w:val="000000"/>
        </w:rPr>
        <w:t>Vistoria dos REPs nos locais de instalação e limpeza técnica superficial dos leitores biométricos.</w:t>
      </w:r>
    </w:p>
    <w:p w14:paraId="778B994F" w14:textId="77777777" w:rsidR="00B32B0A" w:rsidRPr="00B32B0A" w:rsidRDefault="00B32B0A" w:rsidP="00B32B0A">
      <w:pPr>
        <w:keepNext/>
        <w:keepLines/>
        <w:numPr>
          <w:ilvl w:val="0"/>
          <w:numId w:val="35"/>
        </w:numPr>
        <w:spacing w:before="40" w:after="0"/>
        <w:outlineLvl w:val="3"/>
        <w:rPr>
          <w:rFonts w:ascii="Arial" w:eastAsia="Times New Roman" w:hAnsi="Arial" w:cs="Arial"/>
          <w:color w:val="000000"/>
        </w:rPr>
      </w:pPr>
      <w:r w:rsidRPr="00B32B0A">
        <w:rPr>
          <w:rFonts w:ascii="Arial" w:eastAsia="Times New Roman" w:hAnsi="Arial" w:cs="Arial"/>
          <w:color w:val="000000"/>
        </w:rPr>
        <w:t>Extração de backup de bancos de dados e dos arquivos fiscais AFD para armazenamento em servidor local.</w:t>
      </w:r>
    </w:p>
    <w:p w14:paraId="418555B9" w14:textId="77777777" w:rsidR="00B32B0A" w:rsidRPr="00B32B0A" w:rsidRDefault="00B32B0A" w:rsidP="00B32B0A">
      <w:pPr>
        <w:keepNext/>
        <w:keepLines/>
        <w:spacing w:before="40" w:after="0"/>
        <w:outlineLvl w:val="3"/>
        <w:rPr>
          <w:rFonts w:ascii="Arial" w:eastAsia="Times New Roman" w:hAnsi="Arial" w:cs="Arial"/>
          <w:color w:val="000000"/>
        </w:rPr>
      </w:pPr>
      <w:r w:rsidRPr="00B32B0A">
        <w:rPr>
          <w:rFonts w:ascii="Arial" w:eastAsia="Times New Roman" w:hAnsi="Arial" w:cs="Arial"/>
          <w:color w:val="000000"/>
        </w:rPr>
        <w:t>2. Migração e Software (Portaria 671/2021):</w:t>
      </w:r>
    </w:p>
    <w:p w14:paraId="333674F2" w14:textId="77777777" w:rsidR="00B32B0A" w:rsidRPr="00B32B0A" w:rsidRDefault="00B32B0A" w:rsidP="00B32B0A">
      <w:pPr>
        <w:keepNext/>
        <w:keepLines/>
        <w:numPr>
          <w:ilvl w:val="0"/>
          <w:numId w:val="36"/>
        </w:numPr>
        <w:spacing w:before="40" w:after="0"/>
        <w:outlineLvl w:val="3"/>
        <w:rPr>
          <w:rFonts w:ascii="Arial" w:eastAsia="Times New Roman" w:hAnsi="Arial" w:cs="Arial"/>
          <w:color w:val="000000"/>
        </w:rPr>
      </w:pPr>
      <w:r w:rsidRPr="00B32B0A">
        <w:rPr>
          <w:rFonts w:ascii="Arial" w:eastAsia="Times New Roman" w:hAnsi="Arial" w:cs="Arial"/>
          <w:color w:val="000000"/>
        </w:rPr>
        <w:t>Migração total do software atual para a nova plataforma adequada à Portaria 671/2021 e LGPD.</w:t>
      </w:r>
    </w:p>
    <w:p w14:paraId="4B31407B" w14:textId="77777777" w:rsidR="00B32B0A" w:rsidRPr="00B32B0A" w:rsidRDefault="00B32B0A" w:rsidP="00B32B0A">
      <w:pPr>
        <w:keepNext/>
        <w:keepLines/>
        <w:numPr>
          <w:ilvl w:val="0"/>
          <w:numId w:val="36"/>
        </w:numPr>
        <w:spacing w:before="40" w:after="0"/>
        <w:outlineLvl w:val="3"/>
        <w:rPr>
          <w:rFonts w:ascii="Arial" w:eastAsia="Times New Roman" w:hAnsi="Arial" w:cs="Arial"/>
          <w:color w:val="000000"/>
        </w:rPr>
      </w:pPr>
      <w:r w:rsidRPr="00B32B0A">
        <w:rPr>
          <w:rFonts w:ascii="Arial" w:eastAsia="Times New Roman" w:hAnsi="Arial" w:cs="Arial"/>
          <w:color w:val="000000"/>
        </w:rPr>
        <w:t>Fornecimento de licenças anuais de uso com ativação online/remota.</w:t>
      </w:r>
    </w:p>
    <w:p w14:paraId="3B837CFC" w14:textId="77777777" w:rsidR="00B32B0A" w:rsidRPr="00B32B0A" w:rsidRDefault="00B32B0A" w:rsidP="00B32B0A">
      <w:pPr>
        <w:keepNext/>
        <w:keepLines/>
        <w:numPr>
          <w:ilvl w:val="0"/>
          <w:numId w:val="36"/>
        </w:numPr>
        <w:spacing w:before="40" w:after="0"/>
        <w:outlineLvl w:val="3"/>
        <w:rPr>
          <w:rFonts w:ascii="Arial" w:eastAsia="Times New Roman" w:hAnsi="Arial" w:cs="Arial"/>
          <w:color w:val="000000"/>
        </w:rPr>
      </w:pPr>
      <w:r w:rsidRPr="00B32B0A">
        <w:rPr>
          <w:rFonts w:ascii="Arial" w:eastAsia="Times New Roman" w:hAnsi="Arial" w:cs="Arial"/>
          <w:color w:val="000000"/>
        </w:rPr>
        <w:t>Instalação de banco de dados em padrão SQL Server, garantindo a importação integral do histórico desde 2015 (jornadas, extras, DSR, escalas, feriados e justificativas).</w:t>
      </w:r>
    </w:p>
    <w:p w14:paraId="3E5EA245" w14:textId="77777777" w:rsidR="00B32B0A" w:rsidRPr="00B32B0A" w:rsidRDefault="00B32B0A" w:rsidP="00B32B0A">
      <w:pPr>
        <w:keepNext/>
        <w:keepLines/>
        <w:spacing w:before="40" w:after="0"/>
        <w:outlineLvl w:val="3"/>
        <w:rPr>
          <w:rFonts w:ascii="Arial" w:eastAsia="Times New Roman" w:hAnsi="Arial" w:cs="Arial"/>
          <w:color w:val="000000"/>
        </w:rPr>
      </w:pPr>
      <w:r w:rsidRPr="00B32B0A">
        <w:rPr>
          <w:rFonts w:ascii="Arial" w:eastAsia="Times New Roman" w:hAnsi="Arial" w:cs="Arial"/>
          <w:color w:val="000000"/>
        </w:rPr>
        <w:t>3. Capacidade e Expansão:</w:t>
      </w:r>
    </w:p>
    <w:p w14:paraId="4F83F8EC" w14:textId="77777777" w:rsidR="00B32B0A" w:rsidRPr="00B32B0A" w:rsidRDefault="00B32B0A" w:rsidP="00B32B0A">
      <w:pPr>
        <w:keepNext/>
        <w:keepLines/>
        <w:numPr>
          <w:ilvl w:val="0"/>
          <w:numId w:val="37"/>
        </w:numPr>
        <w:spacing w:before="40" w:after="0"/>
        <w:outlineLvl w:val="3"/>
        <w:rPr>
          <w:rFonts w:ascii="Arial" w:eastAsia="Times New Roman" w:hAnsi="Arial" w:cs="Arial"/>
          <w:color w:val="000000"/>
        </w:rPr>
      </w:pPr>
      <w:r w:rsidRPr="00B32B0A">
        <w:rPr>
          <w:rFonts w:ascii="Arial" w:eastAsia="Times New Roman" w:hAnsi="Arial" w:cs="Arial"/>
          <w:color w:val="000000"/>
        </w:rPr>
        <w:t>Expansão da capacidade de dados na nova versão: até 400 cadastros para a Secretaria Municipal de Saúde e até 200 cadastros para cada uma das demais secretarias.</w:t>
      </w:r>
    </w:p>
    <w:p w14:paraId="14F156FF" w14:textId="77777777" w:rsidR="00B32B0A" w:rsidRPr="00B32B0A" w:rsidRDefault="00B32B0A" w:rsidP="00B32B0A">
      <w:pPr>
        <w:keepNext/>
        <w:keepLines/>
        <w:numPr>
          <w:ilvl w:val="0"/>
          <w:numId w:val="37"/>
        </w:numPr>
        <w:spacing w:before="40" w:after="0"/>
        <w:outlineLvl w:val="3"/>
        <w:rPr>
          <w:rFonts w:ascii="Arial" w:eastAsia="Times New Roman" w:hAnsi="Arial" w:cs="Arial"/>
          <w:color w:val="000000"/>
        </w:rPr>
      </w:pPr>
      <w:r w:rsidRPr="00B32B0A">
        <w:rPr>
          <w:rFonts w:ascii="Arial" w:eastAsia="Times New Roman" w:hAnsi="Arial" w:cs="Arial"/>
          <w:color w:val="000000"/>
        </w:rPr>
        <w:t>Garantia de atualizações ilimitadas conforme futuras regras do MTE.</w:t>
      </w:r>
    </w:p>
    <w:p w14:paraId="09A31F46" w14:textId="77777777" w:rsidR="00B32B0A" w:rsidRPr="00B32B0A" w:rsidRDefault="00B32B0A" w:rsidP="00B32B0A">
      <w:pPr>
        <w:keepNext/>
        <w:keepLines/>
        <w:spacing w:before="40" w:after="0"/>
        <w:outlineLvl w:val="3"/>
        <w:rPr>
          <w:rFonts w:ascii="Arial" w:eastAsia="Times New Roman" w:hAnsi="Arial" w:cs="Arial"/>
          <w:color w:val="000000"/>
        </w:rPr>
      </w:pPr>
      <w:r w:rsidRPr="00B32B0A">
        <w:rPr>
          <w:rFonts w:ascii="Arial" w:eastAsia="Times New Roman" w:hAnsi="Arial" w:cs="Arial"/>
          <w:color w:val="000000"/>
        </w:rPr>
        <w:t>4. Configuração de Rede e Segurança:</w:t>
      </w:r>
    </w:p>
    <w:p w14:paraId="51F38177" w14:textId="77777777" w:rsidR="00B32B0A" w:rsidRPr="00B32B0A" w:rsidRDefault="00B32B0A" w:rsidP="00B32B0A">
      <w:pPr>
        <w:keepNext/>
        <w:keepLines/>
        <w:numPr>
          <w:ilvl w:val="0"/>
          <w:numId w:val="38"/>
        </w:numPr>
        <w:spacing w:before="40" w:after="0"/>
        <w:outlineLvl w:val="3"/>
        <w:rPr>
          <w:rFonts w:ascii="Arial" w:eastAsia="Times New Roman" w:hAnsi="Arial" w:cs="Arial"/>
          <w:color w:val="000000"/>
        </w:rPr>
      </w:pPr>
      <w:r w:rsidRPr="00B32B0A">
        <w:rPr>
          <w:rFonts w:ascii="Arial" w:eastAsia="Times New Roman" w:hAnsi="Arial" w:cs="Arial"/>
          <w:color w:val="000000"/>
        </w:rPr>
        <w:t>Parametrização de redes internas para comunicação entre REPs e Software.</w:t>
      </w:r>
    </w:p>
    <w:p w14:paraId="05BAA58D" w14:textId="77777777" w:rsidR="00B32B0A" w:rsidRPr="00B32B0A" w:rsidRDefault="00B32B0A" w:rsidP="00B32B0A">
      <w:pPr>
        <w:keepNext/>
        <w:keepLines/>
        <w:numPr>
          <w:ilvl w:val="0"/>
          <w:numId w:val="38"/>
        </w:numPr>
        <w:spacing w:before="40" w:after="0"/>
        <w:outlineLvl w:val="3"/>
        <w:rPr>
          <w:rFonts w:ascii="Arial" w:eastAsia="Times New Roman" w:hAnsi="Arial" w:cs="Arial"/>
          <w:color w:val="000000"/>
        </w:rPr>
      </w:pPr>
      <w:r w:rsidRPr="00B32B0A">
        <w:rPr>
          <w:rFonts w:ascii="Arial" w:eastAsia="Times New Roman" w:hAnsi="Arial" w:cs="Arial"/>
          <w:color w:val="000000"/>
        </w:rPr>
        <w:t>Configuração de gerenciadores automáticos de registros e serviços de backup automático em nuvem/servidor.</w:t>
      </w:r>
    </w:p>
    <w:p w14:paraId="646DB43D" w14:textId="77777777" w:rsidR="00B32B0A" w:rsidRPr="00B32B0A" w:rsidRDefault="00B32B0A" w:rsidP="00B32B0A">
      <w:pPr>
        <w:shd w:val="clear" w:color="auto" w:fill="FFFFFF"/>
        <w:spacing w:after="0" w:line="420" w:lineRule="atLeast"/>
        <w:rPr>
          <w:rFonts w:ascii="Arial" w:eastAsia="Times New Roman" w:hAnsi="Arial" w:cs="Arial"/>
          <w:color w:val="0A0A0A"/>
          <w:sz w:val="24"/>
          <w:szCs w:val="24"/>
        </w:rPr>
      </w:pPr>
      <w:r w:rsidRPr="00B32B0A">
        <w:rPr>
          <w:rFonts w:ascii="Arial" w:eastAsia="Times New Roman" w:hAnsi="Arial" w:cs="Arial"/>
          <w:color w:val="0A0A0A"/>
          <w:sz w:val="24"/>
          <w:szCs w:val="24"/>
        </w:rPr>
        <w:t>5. Do suporte e treinamento</w:t>
      </w:r>
    </w:p>
    <w:p w14:paraId="5FA873D5" w14:textId="77777777" w:rsidR="00B32B0A" w:rsidRPr="00B32B0A" w:rsidRDefault="00B32B0A" w:rsidP="00B32B0A">
      <w:pPr>
        <w:numPr>
          <w:ilvl w:val="0"/>
          <w:numId w:val="38"/>
        </w:numPr>
        <w:shd w:val="clear" w:color="auto" w:fill="FFFFFF"/>
        <w:spacing w:after="0" w:line="360" w:lineRule="atLeast"/>
        <w:contextualSpacing/>
        <w:rPr>
          <w:rFonts w:ascii="Arial" w:eastAsia="Times New Roman" w:hAnsi="Arial" w:cs="Arial"/>
          <w:color w:val="0A0A0A"/>
          <w:sz w:val="24"/>
          <w:szCs w:val="24"/>
        </w:rPr>
      </w:pPr>
      <w:r w:rsidRPr="00B32B0A">
        <w:rPr>
          <w:rFonts w:ascii="Arial" w:eastAsia="Times New Roman" w:hAnsi="Arial" w:cs="Arial"/>
          <w:color w:val="0A0A0A"/>
          <w:sz w:val="24"/>
          <w:szCs w:val="24"/>
        </w:rPr>
        <w:t> Suporte: Auxílio online/remoto ilimitado para fechamento mensal e aferição de dados, conforme demanda das Secretarias.</w:t>
      </w:r>
    </w:p>
    <w:p w14:paraId="5C708CE4" w14:textId="77777777" w:rsidR="00B32B0A" w:rsidRPr="00B32B0A" w:rsidRDefault="00B32B0A" w:rsidP="00B32B0A">
      <w:pPr>
        <w:numPr>
          <w:ilvl w:val="0"/>
          <w:numId w:val="38"/>
        </w:numPr>
        <w:shd w:val="clear" w:color="auto" w:fill="FFFFFF"/>
        <w:spacing w:after="0" w:line="360" w:lineRule="atLeast"/>
        <w:contextualSpacing/>
        <w:rPr>
          <w:rFonts w:ascii="Arial" w:eastAsia="Times New Roman" w:hAnsi="Arial" w:cs="Arial"/>
          <w:color w:val="0A0A0A"/>
          <w:sz w:val="24"/>
          <w:szCs w:val="24"/>
        </w:rPr>
      </w:pPr>
      <w:r w:rsidRPr="00B32B0A">
        <w:rPr>
          <w:rFonts w:ascii="Arial" w:eastAsia="Times New Roman" w:hAnsi="Arial" w:cs="Arial"/>
          <w:color w:val="0A0A0A"/>
          <w:sz w:val="24"/>
          <w:szCs w:val="24"/>
        </w:rPr>
        <w:t> Treinamento: Capacitação presencial em cada Secretaria Municipal dentro do prazo da visita técnica (05 dias), focada na operação da nova versão do software.</w:t>
      </w:r>
    </w:p>
    <w:p w14:paraId="64D9F0DA" w14:textId="77777777" w:rsidR="00B32B0A" w:rsidRPr="00B32B0A" w:rsidRDefault="00B32B0A" w:rsidP="00B32B0A">
      <w:pPr>
        <w:spacing w:before="100" w:beforeAutospacing="1" w:after="100" w:afterAutospacing="1" w:line="240" w:lineRule="auto"/>
        <w:jc w:val="both"/>
        <w:rPr>
          <w:rFonts w:ascii="Arial" w:hAnsi="Arial" w:cs="Arial"/>
          <w:color w:val="000000"/>
          <w:sz w:val="24"/>
          <w:szCs w:val="24"/>
        </w:rPr>
      </w:pPr>
    </w:p>
    <w:p w14:paraId="17F9B5DC" w14:textId="77777777" w:rsidR="00B32B0A" w:rsidRPr="00B32B0A" w:rsidRDefault="00B32B0A" w:rsidP="00B32B0A">
      <w:pPr>
        <w:spacing w:line="360" w:lineRule="auto"/>
        <w:jc w:val="both"/>
        <w:rPr>
          <w:rFonts w:ascii="Arial" w:hAnsi="Arial" w:cs="Arial"/>
        </w:rPr>
      </w:pPr>
      <w:r w:rsidRPr="00B32B0A">
        <w:rPr>
          <w:rFonts w:ascii="Arial" w:hAnsi="Arial" w:cs="Arial"/>
        </w:rPr>
        <w:t>Águia Branca/ES, 05 de fevereiro de 2026</w:t>
      </w:r>
    </w:p>
    <w:p w14:paraId="61C28A84" w14:textId="77777777" w:rsidR="00B32B0A" w:rsidRPr="00B32B0A" w:rsidRDefault="00B32B0A" w:rsidP="00B32B0A">
      <w:pPr>
        <w:spacing w:line="360" w:lineRule="auto"/>
        <w:jc w:val="both"/>
        <w:rPr>
          <w:rFonts w:ascii="Arial" w:hAnsi="Arial" w:cs="Arial"/>
        </w:rPr>
      </w:pPr>
    </w:p>
    <w:p w14:paraId="7F48E2BC" w14:textId="77777777" w:rsidR="00B32B0A" w:rsidRPr="00B32B0A" w:rsidRDefault="00B32B0A" w:rsidP="00B32B0A">
      <w:pPr>
        <w:spacing w:line="360" w:lineRule="auto"/>
        <w:jc w:val="center"/>
        <w:rPr>
          <w:rFonts w:ascii="Arial" w:hAnsi="Arial" w:cs="Arial"/>
          <w:b/>
          <w:bCs/>
        </w:rPr>
      </w:pPr>
      <w:r w:rsidRPr="00B32B0A">
        <w:rPr>
          <w:rFonts w:ascii="Arial" w:hAnsi="Arial" w:cs="Arial"/>
          <w:b/>
          <w:bCs/>
        </w:rPr>
        <w:t>Juliana Delevedove Bergami</w:t>
      </w:r>
    </w:p>
    <w:p w14:paraId="2A2F3F02" w14:textId="77777777" w:rsidR="00B32B0A" w:rsidRPr="00B32B0A" w:rsidRDefault="00B32B0A" w:rsidP="00B32B0A">
      <w:pPr>
        <w:spacing w:line="360" w:lineRule="auto"/>
        <w:jc w:val="center"/>
        <w:rPr>
          <w:rFonts w:ascii="Arial" w:hAnsi="Arial" w:cs="Arial"/>
          <w:b/>
          <w:bCs/>
        </w:rPr>
      </w:pPr>
      <w:r w:rsidRPr="00B32B0A">
        <w:rPr>
          <w:rFonts w:ascii="Arial" w:hAnsi="Arial" w:cs="Arial"/>
          <w:b/>
          <w:bCs/>
        </w:rPr>
        <w:t>Secretário Municipal de Administração</w:t>
      </w:r>
    </w:p>
    <w:p w14:paraId="537B3E6C" w14:textId="64AF5370"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22741C63" w14:textId="77777777" w:rsidR="00B32B0A" w:rsidRDefault="00B32B0A" w:rsidP="00687C08">
      <w:pPr>
        <w:pStyle w:val="Corpodetexto"/>
        <w:spacing w:after="0" w:line="200" w:lineRule="atLeast"/>
        <w:jc w:val="both"/>
      </w:pPr>
    </w:p>
    <w:p w14:paraId="3760FE29" w14:textId="77777777" w:rsidR="00B32B0A" w:rsidRDefault="00B32B0A" w:rsidP="00687C08">
      <w:pPr>
        <w:pStyle w:val="Corpodetexto"/>
        <w:spacing w:after="0" w:line="200" w:lineRule="atLeast"/>
        <w:jc w:val="both"/>
      </w:pPr>
    </w:p>
    <w:p w14:paraId="58433691" w14:textId="77777777" w:rsidR="00B32B0A" w:rsidRDefault="00B32B0A" w:rsidP="00687C08">
      <w:pPr>
        <w:pStyle w:val="Corpodetexto"/>
        <w:spacing w:after="0" w:line="200" w:lineRule="atLeast"/>
        <w:jc w:val="both"/>
      </w:pPr>
    </w:p>
    <w:p w14:paraId="5087C9E3" w14:textId="77777777" w:rsidR="00B32B0A" w:rsidRDefault="00B32B0A" w:rsidP="00687C08">
      <w:pPr>
        <w:pStyle w:val="Corpodetexto"/>
        <w:spacing w:after="0" w:line="200" w:lineRule="atLeast"/>
        <w:jc w:val="both"/>
      </w:pPr>
    </w:p>
    <w:p w14:paraId="6498B087" w14:textId="77777777" w:rsidR="00B32B0A" w:rsidRDefault="00B32B0A" w:rsidP="00687C08">
      <w:pPr>
        <w:pStyle w:val="Corpodetexto"/>
        <w:spacing w:after="0" w:line="200" w:lineRule="atLeast"/>
        <w:jc w:val="both"/>
      </w:pPr>
    </w:p>
    <w:p w14:paraId="6716AB96" w14:textId="77777777" w:rsidR="00B32B0A" w:rsidRDefault="00B32B0A"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lastRenderedPageBreak/>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9"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10"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lastRenderedPageBreak/>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1"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2"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3"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4"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5"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NONA - OBRIGAÇÕES D</w:t>
      </w:r>
      <w:r>
        <w:t>A</w:t>
      </w:r>
      <w:r w:rsidRPr="004827F2">
        <w:t xml:space="preserve"> CONTRATAD</w:t>
      </w:r>
      <w:r>
        <w:t>A</w:t>
      </w:r>
      <w:r w:rsidRPr="004827F2">
        <w:t xml:space="preserve"> (</w:t>
      </w:r>
      <w:hyperlink r:id="rId16"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7"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8"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9"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Comprovar a reserva de cargos a que se refere a cláusula acima, no prazo fixado pelo fiscal do contrato, com a indicação dos empregados que preencheram as referidas vagas (</w:t>
      </w:r>
      <w:hyperlink r:id="rId20"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1"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2"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2"/>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3"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3"/>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2"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3"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4" w:name="_Ref131169316"/>
      <w:r>
        <w:t xml:space="preserve">11.1 </w:t>
      </w:r>
      <w:r w:rsidRPr="004827F2">
        <w:t xml:space="preserve">Comete infração administrativa, nos termos da </w:t>
      </w:r>
      <w:hyperlink r:id="rId24" w:history="1">
        <w:r w:rsidRPr="004827F2">
          <w:rPr>
            <w:rStyle w:val="Hyperlink"/>
          </w:rPr>
          <w:t>Lei nº 14.133, de 2021</w:t>
        </w:r>
      </w:hyperlink>
      <w:r w:rsidRPr="004827F2">
        <w:t>, o contratado que:</w:t>
      </w:r>
      <w:bookmarkEnd w:id="4"/>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5"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6" w:anchor="art156§2" w:history="1">
        <w:r w:rsidRPr="00005B62">
          <w:rPr>
            <w:rStyle w:val="Hyperlink"/>
            <w:rFonts w:ascii="Arial" w:eastAsia="Arial" w:hAnsi="Arial" w:cs="Arial"/>
            <w:sz w:val="20"/>
            <w:szCs w:val="20"/>
          </w:rPr>
          <w:t xml:space="preserve">art. 156, §2º, da </w:t>
        </w:r>
        <w:bookmarkStart w:id="5" w:name="_Hlk114504069"/>
        <w:r w:rsidRPr="00005B62">
          <w:rPr>
            <w:rStyle w:val="Hyperlink"/>
            <w:rFonts w:ascii="Arial" w:eastAsia="Arial" w:hAnsi="Arial" w:cs="Arial"/>
            <w:sz w:val="20"/>
            <w:szCs w:val="20"/>
          </w:rPr>
          <w:t>Lei nº 14.133, de 2021</w:t>
        </w:r>
        <w:bookmarkEnd w:id="5"/>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7"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8"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9"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30"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1"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2"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6" w:name="_Hlk78351618"/>
      <w:bookmarkEnd w:id="6"/>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3" w:anchor="art158" w:history="1">
        <w:r w:rsidRPr="004827F2">
          <w:rPr>
            <w:rStyle w:val="Hyperlink"/>
          </w:rPr>
          <w:t xml:space="preserve">art. </w:t>
        </w:r>
        <w:r w:rsidRPr="004827F2">
          <w:rPr>
            <w:rStyle w:val="Hyperlink"/>
          </w:rPr>
          <w:lastRenderedPageBreak/>
          <w:t>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4"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5"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6"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7"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8"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39"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40"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1"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2"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3"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4"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lastRenderedPageBreak/>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5"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6"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2E50E478"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402476">
        <w:rPr>
          <w:rFonts w:ascii="Arial" w:eastAsia="Arial" w:hAnsi="Arial" w:cs="Arial"/>
          <w:sz w:val="20"/>
          <w:szCs w:val="20"/>
          <w:highlight w:val="yellow"/>
        </w:rPr>
        <w:t>39</w:t>
      </w:r>
    </w:p>
    <w:p w14:paraId="57A252A7" w14:textId="2A177A66"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w:t>
      </w:r>
      <w:r w:rsidR="00FE1AC3">
        <w:rPr>
          <w:rFonts w:ascii="Arial" w:eastAsia="Arial" w:hAnsi="Arial" w:cs="Arial"/>
          <w:sz w:val="20"/>
          <w:szCs w:val="20"/>
          <w:highlight w:val="yellow"/>
        </w:rPr>
        <w:t>0</w:t>
      </w:r>
      <w:r w:rsidR="008237E1">
        <w:rPr>
          <w:rFonts w:ascii="Arial" w:eastAsia="Arial" w:hAnsi="Arial" w:cs="Arial"/>
          <w:sz w:val="20"/>
          <w:szCs w:val="20"/>
          <w:highlight w:val="yellow"/>
        </w:rPr>
        <w:t>0</w:t>
      </w:r>
      <w:r w:rsidR="00FE1AC3">
        <w:rPr>
          <w:rFonts w:ascii="Arial" w:eastAsia="Arial" w:hAnsi="Arial" w:cs="Arial"/>
          <w:sz w:val="20"/>
          <w:szCs w:val="20"/>
          <w:highlight w:val="yellow"/>
        </w:rPr>
        <w:t>0</w:t>
      </w:r>
      <w:r w:rsidR="00733119">
        <w:rPr>
          <w:rFonts w:ascii="Arial" w:eastAsia="Arial" w:hAnsi="Arial" w:cs="Arial"/>
          <w:sz w:val="20"/>
          <w:szCs w:val="20"/>
          <w:highlight w:val="yellow"/>
        </w:rPr>
        <w:t>00</w:t>
      </w:r>
      <w:r>
        <w:rPr>
          <w:rFonts w:ascii="Arial" w:eastAsia="Arial" w:hAnsi="Arial" w:cs="Arial"/>
          <w:sz w:val="20"/>
          <w:szCs w:val="20"/>
          <w:highlight w:val="yellow"/>
        </w:rPr>
        <w:t>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7"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8" w:history="1">
        <w:r w:rsidRPr="004827F2">
          <w:rPr>
            <w:rStyle w:val="Hyperlink"/>
          </w:rPr>
          <w:t>nº 14.133, de 2021</w:t>
        </w:r>
      </w:hyperlink>
      <w:r w:rsidRPr="004827F2">
        <w:t xml:space="preserve">, e demais normas federais aplicáveis e, subsidiariamente, segundo as disposições contidas na </w:t>
      </w:r>
      <w:hyperlink r:id="rId49"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50"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lastRenderedPageBreak/>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1"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2"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3" w:anchor="art8§2" w:history="1">
        <w:r w:rsidRPr="004827F2">
          <w:rPr>
            <w:rStyle w:val="Hyperlink"/>
          </w:rPr>
          <w:t>art. 8º, §2º, da Lei n. 12.527, de 2011</w:t>
        </w:r>
      </w:hyperlink>
      <w:r w:rsidRPr="004827F2">
        <w:t xml:space="preserve">, c/c </w:t>
      </w:r>
      <w:hyperlink r:id="rId54"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5"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6"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 xml:space="preserve">..................(NOME DA EMPRESA) .........., inscrita no CNPJ nº ..............................., Inscrição Estadual nº ............................, sediada ................... (endereço completo) .............., através de seu representante legal, o senhor .........................................., portador do RG </w:t>
      </w:r>
      <w:r>
        <w:lastRenderedPageBreak/>
        <w:t>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F280359" w14:textId="77777777" w:rsidR="00FE1AC3" w:rsidRDefault="00FE1AC3" w:rsidP="00AF0AFE">
      <w:pPr>
        <w:pStyle w:val="Corpodetexto"/>
        <w:spacing w:after="0" w:line="200" w:lineRule="atLeast"/>
        <w:jc w:val="center"/>
      </w:pPr>
    </w:p>
    <w:p w14:paraId="12F98470" w14:textId="77777777" w:rsidR="00FE1AC3" w:rsidRDefault="00FE1AC3" w:rsidP="00AF0AFE">
      <w:pPr>
        <w:pStyle w:val="Corpodetexto"/>
        <w:spacing w:after="0" w:line="200" w:lineRule="atLeast"/>
        <w:jc w:val="center"/>
      </w:pPr>
    </w:p>
    <w:p w14:paraId="6E17C6B8" w14:textId="77777777" w:rsidR="00FE1AC3" w:rsidRDefault="00FE1AC3" w:rsidP="00AF0AFE">
      <w:pPr>
        <w:pStyle w:val="Corpodetexto"/>
        <w:spacing w:after="0" w:line="200" w:lineRule="atLeast"/>
        <w:jc w:val="center"/>
      </w:pPr>
    </w:p>
    <w:p w14:paraId="357F463B" w14:textId="77777777" w:rsidR="00FE1AC3" w:rsidRDefault="00FE1AC3" w:rsidP="00AF0AFE">
      <w:pPr>
        <w:pStyle w:val="Corpodetexto"/>
        <w:spacing w:after="0" w:line="200" w:lineRule="atLeast"/>
        <w:jc w:val="center"/>
      </w:pPr>
    </w:p>
    <w:p w14:paraId="58739949" w14:textId="77777777" w:rsidR="00FE1AC3" w:rsidRDefault="00FE1AC3" w:rsidP="00AF0AFE">
      <w:pPr>
        <w:pStyle w:val="Corpodetexto"/>
        <w:spacing w:after="0" w:line="200" w:lineRule="atLeast"/>
        <w:jc w:val="center"/>
      </w:pPr>
    </w:p>
    <w:p w14:paraId="6F8C7A66" w14:textId="77777777" w:rsidR="00FE1AC3" w:rsidRDefault="00FE1AC3" w:rsidP="00AF0AFE">
      <w:pPr>
        <w:pStyle w:val="Corpodetexto"/>
        <w:spacing w:after="0" w:line="200" w:lineRule="atLeast"/>
        <w:jc w:val="center"/>
      </w:pPr>
    </w:p>
    <w:p w14:paraId="74C5706F" w14:textId="77777777" w:rsidR="00FE1AC3" w:rsidRDefault="00FE1AC3" w:rsidP="00AF0AFE">
      <w:pPr>
        <w:pStyle w:val="Corpodetexto"/>
        <w:spacing w:after="0" w:line="200" w:lineRule="atLeast"/>
        <w:jc w:val="center"/>
      </w:pPr>
    </w:p>
    <w:p w14:paraId="5AA93930" w14:textId="77777777" w:rsidR="00FE1AC3" w:rsidRDefault="00FE1AC3" w:rsidP="00AF0AFE">
      <w:pPr>
        <w:pStyle w:val="Corpodetexto"/>
        <w:spacing w:after="0" w:line="200" w:lineRule="atLeast"/>
        <w:jc w:val="center"/>
      </w:pPr>
    </w:p>
    <w:p w14:paraId="143B6432" w14:textId="77777777" w:rsidR="00FE1AC3" w:rsidRDefault="00FE1AC3" w:rsidP="00AF0AFE">
      <w:pPr>
        <w:pStyle w:val="Corpodetexto"/>
        <w:spacing w:after="0" w:line="200" w:lineRule="atLeast"/>
        <w:jc w:val="center"/>
      </w:pPr>
    </w:p>
    <w:p w14:paraId="488FD23E" w14:textId="77777777" w:rsidR="00FE1AC3" w:rsidRDefault="00FE1AC3" w:rsidP="00AF0AFE">
      <w:pPr>
        <w:pStyle w:val="Corpodetexto"/>
        <w:spacing w:after="0" w:line="200" w:lineRule="atLeast"/>
        <w:jc w:val="center"/>
      </w:pPr>
    </w:p>
    <w:p w14:paraId="0E7CAE18" w14:textId="77777777" w:rsidR="00FE1AC3" w:rsidRDefault="00FE1AC3" w:rsidP="00AF0AFE">
      <w:pPr>
        <w:pStyle w:val="Corpodetexto"/>
        <w:spacing w:after="0" w:line="200" w:lineRule="atLeast"/>
        <w:jc w:val="center"/>
      </w:pPr>
    </w:p>
    <w:p w14:paraId="186937EF" w14:textId="77777777" w:rsidR="00FE1AC3" w:rsidRDefault="00FE1AC3"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lastRenderedPageBreak/>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7"/>
      <w:footerReference w:type="default" r:id="rId58"/>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F9E30" w14:textId="77777777" w:rsidR="00203C9C" w:rsidRDefault="00203C9C">
      <w:pPr>
        <w:spacing w:after="0" w:line="240" w:lineRule="auto"/>
      </w:pPr>
      <w:r>
        <w:separator/>
      </w:r>
    </w:p>
  </w:endnote>
  <w:endnote w:type="continuationSeparator" w:id="0">
    <w:p w14:paraId="163EA190" w14:textId="77777777" w:rsidR="00203C9C" w:rsidRDefault="00203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9025F" w14:textId="77777777" w:rsidR="00203C9C" w:rsidRDefault="00203C9C">
      <w:pPr>
        <w:spacing w:after="0" w:line="240" w:lineRule="auto"/>
      </w:pPr>
      <w:r>
        <w:separator/>
      </w:r>
    </w:p>
  </w:footnote>
  <w:footnote w:type="continuationSeparator" w:id="0">
    <w:p w14:paraId="3C4073A2" w14:textId="77777777" w:rsidR="00203C9C" w:rsidRDefault="00203C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2317AE"/>
    <w:multiLevelType w:val="multilevel"/>
    <w:tmpl w:val="46127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B9A0A2F"/>
    <w:multiLevelType w:val="multilevel"/>
    <w:tmpl w:val="A80A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C9B2765"/>
    <w:multiLevelType w:val="multilevel"/>
    <w:tmpl w:val="28989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77145A"/>
    <w:multiLevelType w:val="multilevel"/>
    <w:tmpl w:val="EF28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31"/>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7"/>
  </w:num>
  <w:num w:numId="16" w16cid:durableId="2127189233">
    <w:abstractNumId w:val="0"/>
  </w:num>
  <w:num w:numId="17" w16cid:durableId="1583878967">
    <w:abstractNumId w:val="34"/>
  </w:num>
  <w:num w:numId="18" w16cid:durableId="1899591968">
    <w:abstractNumId w:val="7"/>
  </w:num>
  <w:num w:numId="19" w16cid:durableId="1676956367">
    <w:abstractNumId w:val="29"/>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8"/>
  </w:num>
  <w:num w:numId="31" w16cid:durableId="248198960">
    <w:abstractNumId w:val="19"/>
  </w:num>
  <w:num w:numId="32" w16cid:durableId="786001533">
    <w:abstractNumId w:val="17"/>
  </w:num>
  <w:num w:numId="33" w16cid:durableId="1852528909">
    <w:abstractNumId w:val="16"/>
  </w:num>
  <w:num w:numId="34" w16cid:durableId="2023893060">
    <w:abstractNumId w:val="5"/>
  </w:num>
  <w:num w:numId="35" w16cid:durableId="953055683">
    <w:abstractNumId w:val="30"/>
  </w:num>
  <w:num w:numId="36" w16cid:durableId="965936784">
    <w:abstractNumId w:val="32"/>
  </w:num>
  <w:num w:numId="37" w16cid:durableId="1498418482">
    <w:abstractNumId w:val="33"/>
  </w:num>
  <w:num w:numId="38" w16cid:durableId="68913886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4ABA"/>
    <w:rsid w:val="00005B62"/>
    <w:rsid w:val="00023144"/>
    <w:rsid w:val="0003435F"/>
    <w:rsid w:val="00036E87"/>
    <w:rsid w:val="00055A4C"/>
    <w:rsid w:val="000634D6"/>
    <w:rsid w:val="00063AD2"/>
    <w:rsid w:val="00065BB8"/>
    <w:rsid w:val="000B05A3"/>
    <w:rsid w:val="000C1945"/>
    <w:rsid w:val="000C4501"/>
    <w:rsid w:val="000C645F"/>
    <w:rsid w:val="000C6661"/>
    <w:rsid w:val="000D66F9"/>
    <w:rsid w:val="000E2215"/>
    <w:rsid w:val="000E4280"/>
    <w:rsid w:val="001013C8"/>
    <w:rsid w:val="001064D8"/>
    <w:rsid w:val="00110B45"/>
    <w:rsid w:val="00117736"/>
    <w:rsid w:val="0012441A"/>
    <w:rsid w:val="00136D46"/>
    <w:rsid w:val="00156FF7"/>
    <w:rsid w:val="001622CD"/>
    <w:rsid w:val="001749BB"/>
    <w:rsid w:val="0017508A"/>
    <w:rsid w:val="0017609C"/>
    <w:rsid w:val="00181BE9"/>
    <w:rsid w:val="0018513D"/>
    <w:rsid w:val="0019173B"/>
    <w:rsid w:val="00193978"/>
    <w:rsid w:val="001A2BF1"/>
    <w:rsid w:val="001A6EDD"/>
    <w:rsid w:val="001B0F31"/>
    <w:rsid w:val="001F1DDC"/>
    <w:rsid w:val="00203C9C"/>
    <w:rsid w:val="00226142"/>
    <w:rsid w:val="002463D9"/>
    <w:rsid w:val="002819DB"/>
    <w:rsid w:val="00286B38"/>
    <w:rsid w:val="00292A7E"/>
    <w:rsid w:val="0029351B"/>
    <w:rsid w:val="002B53D7"/>
    <w:rsid w:val="002C11CC"/>
    <w:rsid w:val="002C1DD2"/>
    <w:rsid w:val="002C4B3A"/>
    <w:rsid w:val="002C70D7"/>
    <w:rsid w:val="002E46B9"/>
    <w:rsid w:val="002E5FEC"/>
    <w:rsid w:val="002E7B7B"/>
    <w:rsid w:val="002F6CBB"/>
    <w:rsid w:val="002F766A"/>
    <w:rsid w:val="00317C55"/>
    <w:rsid w:val="0032325D"/>
    <w:rsid w:val="00326F4C"/>
    <w:rsid w:val="00355005"/>
    <w:rsid w:val="00355729"/>
    <w:rsid w:val="00376AAF"/>
    <w:rsid w:val="0039017A"/>
    <w:rsid w:val="0039202F"/>
    <w:rsid w:val="003A0572"/>
    <w:rsid w:val="003A1AF5"/>
    <w:rsid w:val="003B179C"/>
    <w:rsid w:val="003B467B"/>
    <w:rsid w:val="003E665B"/>
    <w:rsid w:val="003F198C"/>
    <w:rsid w:val="003F24B2"/>
    <w:rsid w:val="003F585D"/>
    <w:rsid w:val="003F6A8A"/>
    <w:rsid w:val="0040040B"/>
    <w:rsid w:val="00402476"/>
    <w:rsid w:val="00402F3B"/>
    <w:rsid w:val="00407B2A"/>
    <w:rsid w:val="004138EC"/>
    <w:rsid w:val="0042228A"/>
    <w:rsid w:val="00432FF2"/>
    <w:rsid w:val="00460F50"/>
    <w:rsid w:val="004944CB"/>
    <w:rsid w:val="004C2708"/>
    <w:rsid w:val="004C3DEB"/>
    <w:rsid w:val="004C7E20"/>
    <w:rsid w:val="004E514D"/>
    <w:rsid w:val="004F0F9E"/>
    <w:rsid w:val="00512B2C"/>
    <w:rsid w:val="00515DEE"/>
    <w:rsid w:val="005276E4"/>
    <w:rsid w:val="0053235F"/>
    <w:rsid w:val="00534299"/>
    <w:rsid w:val="005422AC"/>
    <w:rsid w:val="00551511"/>
    <w:rsid w:val="00554AFC"/>
    <w:rsid w:val="0056443E"/>
    <w:rsid w:val="00574007"/>
    <w:rsid w:val="00576358"/>
    <w:rsid w:val="005D7F70"/>
    <w:rsid w:val="005E034B"/>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3119"/>
    <w:rsid w:val="007352C1"/>
    <w:rsid w:val="007405E1"/>
    <w:rsid w:val="00757A75"/>
    <w:rsid w:val="00757BD1"/>
    <w:rsid w:val="007D26BC"/>
    <w:rsid w:val="007D2760"/>
    <w:rsid w:val="007D4E83"/>
    <w:rsid w:val="00800094"/>
    <w:rsid w:val="00805526"/>
    <w:rsid w:val="008237E1"/>
    <w:rsid w:val="00824A11"/>
    <w:rsid w:val="00825970"/>
    <w:rsid w:val="00840E12"/>
    <w:rsid w:val="00847B60"/>
    <w:rsid w:val="00867E6A"/>
    <w:rsid w:val="008716AE"/>
    <w:rsid w:val="00874A3E"/>
    <w:rsid w:val="008929C6"/>
    <w:rsid w:val="008A506F"/>
    <w:rsid w:val="008A6FA7"/>
    <w:rsid w:val="008A7F24"/>
    <w:rsid w:val="008B02C9"/>
    <w:rsid w:val="008C75BF"/>
    <w:rsid w:val="008D3EAC"/>
    <w:rsid w:val="008E44DF"/>
    <w:rsid w:val="009004D9"/>
    <w:rsid w:val="009027EB"/>
    <w:rsid w:val="009109E4"/>
    <w:rsid w:val="009467BB"/>
    <w:rsid w:val="00970233"/>
    <w:rsid w:val="009737DE"/>
    <w:rsid w:val="00982DA9"/>
    <w:rsid w:val="0099664D"/>
    <w:rsid w:val="009C4EAE"/>
    <w:rsid w:val="009E4957"/>
    <w:rsid w:val="00A034EE"/>
    <w:rsid w:val="00A128C1"/>
    <w:rsid w:val="00A14F85"/>
    <w:rsid w:val="00A5435B"/>
    <w:rsid w:val="00A6364E"/>
    <w:rsid w:val="00AA6A9A"/>
    <w:rsid w:val="00AF0AFE"/>
    <w:rsid w:val="00B1780E"/>
    <w:rsid w:val="00B2060F"/>
    <w:rsid w:val="00B32B0A"/>
    <w:rsid w:val="00B335B5"/>
    <w:rsid w:val="00B427A5"/>
    <w:rsid w:val="00B720C6"/>
    <w:rsid w:val="00B83151"/>
    <w:rsid w:val="00B95614"/>
    <w:rsid w:val="00B95D1F"/>
    <w:rsid w:val="00BA4EF5"/>
    <w:rsid w:val="00BB1648"/>
    <w:rsid w:val="00BB7478"/>
    <w:rsid w:val="00BD1F78"/>
    <w:rsid w:val="00BF208C"/>
    <w:rsid w:val="00C01633"/>
    <w:rsid w:val="00C078CB"/>
    <w:rsid w:val="00C10802"/>
    <w:rsid w:val="00C1171E"/>
    <w:rsid w:val="00C13B2D"/>
    <w:rsid w:val="00C346FC"/>
    <w:rsid w:val="00C51F91"/>
    <w:rsid w:val="00C5286D"/>
    <w:rsid w:val="00C6221F"/>
    <w:rsid w:val="00C77BF1"/>
    <w:rsid w:val="00C82561"/>
    <w:rsid w:val="00CA1A52"/>
    <w:rsid w:val="00CA54EB"/>
    <w:rsid w:val="00CB3526"/>
    <w:rsid w:val="00CB7D03"/>
    <w:rsid w:val="00CC7EF5"/>
    <w:rsid w:val="00D22902"/>
    <w:rsid w:val="00D33A07"/>
    <w:rsid w:val="00D52E7B"/>
    <w:rsid w:val="00D602C2"/>
    <w:rsid w:val="00D840CE"/>
    <w:rsid w:val="00D849C4"/>
    <w:rsid w:val="00D90769"/>
    <w:rsid w:val="00D97FFE"/>
    <w:rsid w:val="00DB1FD3"/>
    <w:rsid w:val="00DB46C8"/>
    <w:rsid w:val="00DB6825"/>
    <w:rsid w:val="00DD5581"/>
    <w:rsid w:val="00DE2766"/>
    <w:rsid w:val="00DE49D5"/>
    <w:rsid w:val="00E17FDA"/>
    <w:rsid w:val="00E23DCA"/>
    <w:rsid w:val="00E30E69"/>
    <w:rsid w:val="00E423BF"/>
    <w:rsid w:val="00E4507A"/>
    <w:rsid w:val="00E84BA9"/>
    <w:rsid w:val="00EB1AAB"/>
    <w:rsid w:val="00EB2CE6"/>
    <w:rsid w:val="00EB77DC"/>
    <w:rsid w:val="00EC5B68"/>
    <w:rsid w:val="00EF4B4A"/>
    <w:rsid w:val="00F03EBE"/>
    <w:rsid w:val="00F115EF"/>
    <w:rsid w:val="00F243B1"/>
    <w:rsid w:val="00F24D6B"/>
    <w:rsid w:val="00F339A1"/>
    <w:rsid w:val="00F44A2C"/>
    <w:rsid w:val="00F52F87"/>
    <w:rsid w:val="00FA7BC6"/>
    <w:rsid w:val="00FC01EE"/>
    <w:rsid w:val="00FE1AC3"/>
    <w:rsid w:val="00FE602F"/>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paragraph" w:styleId="Corpodetexto2">
    <w:name w:val="Body Text 2"/>
    <w:basedOn w:val="Normal"/>
    <w:link w:val="Corpodetexto2Char"/>
    <w:uiPriority w:val="99"/>
    <w:semiHidden/>
    <w:unhideWhenUsed/>
    <w:rsid w:val="00551511"/>
    <w:pPr>
      <w:spacing w:after="120" w:line="480" w:lineRule="auto"/>
    </w:pPr>
  </w:style>
  <w:style w:type="character" w:customStyle="1" w:styleId="Corpodetexto2Char">
    <w:name w:val="Corpo de texto 2 Char"/>
    <w:basedOn w:val="Fontepargpadro"/>
    <w:link w:val="Corpodetexto2"/>
    <w:uiPriority w:val="99"/>
    <w:semiHidden/>
    <w:rsid w:val="00551511"/>
    <w:rPr>
      <w:rFonts w:eastAsiaTheme="minorEastAsia"/>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25art159"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1/lei/l12527.htm" TargetMode="External"/><Relationship Id="rId58"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8" Type="http://schemas.openxmlformats.org/officeDocument/2006/relationships/hyperlink" Target="https://www.in.gov.br/en/web/dou/-/portaria-359094139"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8078compilado.htm"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fontTable" Target="fontTable.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gov.br/compras/pt-br/acesso-a-informacao/legislacao/instrucoes-normativas/instrucao-normativa-seges-me-no-26-de-13-de-abril-de-2022" TargetMode="External"/><Relationship Id="rId54"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planalto.gov.br/ccivil_03/_ato2011-2014/2013/lei/l12846.htm" TargetMode="External"/><Relationship Id="rId49" Type="http://schemas.openxmlformats.org/officeDocument/2006/relationships/hyperlink" Target="https://www.planalto.gov.br/ccivil_03/leis/l8078compilado.htm" TargetMode="External"/><Relationship Id="rId57"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1246</TotalTime>
  <Pages>30</Pages>
  <Words>11835</Words>
  <Characters>63911</Characters>
  <Application>Microsoft Office Word</Application>
  <DocSecurity>0</DocSecurity>
  <Lines>532</Lines>
  <Paragraphs>151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36</cp:revision>
  <cp:lastPrinted>2021-01-04T13:05:00Z</cp:lastPrinted>
  <dcterms:created xsi:type="dcterms:W3CDTF">2024-02-28T17:27:00Z</dcterms:created>
  <dcterms:modified xsi:type="dcterms:W3CDTF">2026-02-27T14:44:00Z</dcterms:modified>
</cp:coreProperties>
</file>